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C1" w:rsidRPr="003E003E" w:rsidRDefault="007502C1" w:rsidP="007502C1">
      <w:pPr>
        <w:jc w:val="both"/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1pt;margin-top:10.5pt;width:223.65pt;height:36.75pt;z-index:251658240;mso-wrap-style:none" filled="f" stroked="f">
            <v:textbox style="mso-next-textbox:#_x0000_s1026">
              <w:txbxContent>
                <w:p w:rsidR="007502C1" w:rsidRPr="009178FA" w:rsidRDefault="007502C1" w:rsidP="007502C1">
                  <w:pPr>
                    <w:jc w:val="both"/>
                    <w:rPr>
                      <w:rFonts w:ascii="Optima" w:hAnsi="Optima"/>
                      <w:color w:val="548DD4" w:themeColor="text2" w:themeTint="99"/>
                    </w:rPr>
                  </w:pPr>
                  <w:r w:rsidRPr="009178FA">
                    <w:rPr>
                      <w:rFonts w:ascii="Optima" w:hAnsi="Optima"/>
                      <w:b/>
                      <w:color w:val="548DD4" w:themeColor="text2" w:themeTint="99"/>
                    </w:rPr>
                    <w:t>NATIONS UNIES</w:t>
                  </w:r>
                </w:p>
                <w:p w:rsidR="007502C1" w:rsidRPr="009178FA" w:rsidRDefault="007502C1" w:rsidP="007502C1">
                  <w:pPr>
                    <w:rPr>
                      <w:rFonts w:ascii="Optima" w:hAnsi="Optima"/>
                      <w:b/>
                      <w:bCs/>
                      <w:color w:val="548DD4" w:themeColor="text2" w:themeTint="99"/>
                    </w:rPr>
                  </w:pPr>
                  <w:r w:rsidRPr="009178FA">
                    <w:rPr>
                      <w:rFonts w:ascii="Optima" w:hAnsi="Optima"/>
                      <w:b/>
                      <w:bCs/>
                      <w:color w:val="548DD4" w:themeColor="text2" w:themeTint="99"/>
                    </w:rPr>
                    <w:t>Commission économique pour l’Afrique</w:t>
                  </w:r>
                </w:p>
              </w:txbxContent>
            </v:textbox>
            <w10:wrap type="square"/>
          </v:shape>
        </w:pict>
      </w:r>
      <w:r w:rsidRPr="007502C1">
        <w:drawing>
          <wp:inline distT="0" distB="0" distL="0" distR="0">
            <wp:extent cx="885825" cy="712839"/>
            <wp:effectExtent l="19050" t="0" r="9525" b="0"/>
            <wp:docPr id="39" name="Image 39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 N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12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2C1" w:rsidRPr="003E003E" w:rsidRDefault="007502C1" w:rsidP="007502C1">
      <w:pPr>
        <w:jc w:val="both"/>
        <w:rPr>
          <w:b/>
          <w:sz w:val="32"/>
          <w:szCs w:val="32"/>
        </w:rPr>
      </w:pPr>
    </w:p>
    <w:tbl>
      <w:tblPr>
        <w:tblW w:w="9720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/>
      </w:tblPr>
      <w:tblGrid>
        <w:gridCol w:w="9720"/>
      </w:tblGrid>
      <w:tr w:rsidR="007502C1" w:rsidTr="00D2719B">
        <w:trPr>
          <w:trHeight w:val="542"/>
        </w:trPr>
        <w:tc>
          <w:tcPr>
            <w:tcW w:w="9720" w:type="dxa"/>
            <w:shd w:val="clear" w:color="auto" w:fill="DBE5F1" w:themeFill="accent1" w:themeFillTint="33"/>
            <w:vAlign w:val="center"/>
          </w:tcPr>
          <w:p w:rsidR="007502C1" w:rsidRPr="00732B2C" w:rsidRDefault="007502C1" w:rsidP="001D0780">
            <w:pPr>
              <w:jc w:val="right"/>
              <w:rPr>
                <w:rFonts w:ascii="Optima" w:hAnsi="Optima"/>
                <w:color w:val="365F91" w:themeColor="accent1" w:themeShade="BF"/>
                <w:sz w:val="32"/>
                <w:szCs w:val="32"/>
              </w:rPr>
            </w:pPr>
            <w:r w:rsidRPr="00732B2C">
              <w:rPr>
                <w:rFonts w:ascii="Optima" w:hAnsi="Optima"/>
                <w:b/>
                <w:bCs/>
                <w:color w:val="365F91" w:themeColor="accent1" w:themeShade="BF"/>
                <w:sz w:val="32"/>
                <w:szCs w:val="32"/>
              </w:rPr>
              <w:t>Bureau pour l’Afrique du Nord</w:t>
            </w:r>
          </w:p>
        </w:tc>
      </w:tr>
    </w:tbl>
    <w:p w:rsidR="007502C1" w:rsidRPr="003E003E" w:rsidRDefault="007502C1" w:rsidP="007502C1">
      <w:pPr>
        <w:ind w:right="-650"/>
        <w:jc w:val="both"/>
        <w:rPr>
          <w:b/>
          <w:sz w:val="32"/>
          <w:szCs w:val="32"/>
        </w:rPr>
      </w:pPr>
    </w:p>
    <w:p w:rsidR="007502C1" w:rsidRDefault="007502C1" w:rsidP="007502C1">
      <w:pPr>
        <w:ind w:right="-650"/>
        <w:jc w:val="center"/>
        <w:rPr>
          <w:rFonts w:ascii="Hobo Std" w:hAnsi="Hobo Std"/>
          <w:bCs/>
          <w:color w:val="CC3300"/>
          <w:sz w:val="22"/>
          <w:szCs w:val="22"/>
        </w:rPr>
      </w:pPr>
    </w:p>
    <w:p w:rsidR="007502C1" w:rsidRPr="00732B2C" w:rsidRDefault="007502C1" w:rsidP="007502C1">
      <w:pPr>
        <w:ind w:right="-650"/>
        <w:jc w:val="center"/>
        <w:rPr>
          <w:rFonts w:ascii="Optima" w:hAnsi="Optima"/>
          <w:bCs/>
          <w:color w:val="365F91" w:themeColor="accent1" w:themeShade="BF"/>
        </w:rPr>
      </w:pPr>
      <w:r w:rsidRPr="00732B2C">
        <w:rPr>
          <w:rFonts w:ascii="Optima" w:hAnsi="Optima"/>
          <w:bCs/>
          <w:color w:val="365F91" w:themeColor="accent1" w:themeShade="BF"/>
        </w:rPr>
        <w:t>Mise en œuvre du Programme pluriannuel de travail avec le</w:t>
      </w:r>
    </w:p>
    <w:p w:rsidR="007502C1" w:rsidRPr="00732B2C" w:rsidRDefault="007502C1" w:rsidP="007502C1">
      <w:pPr>
        <w:ind w:right="-650"/>
        <w:jc w:val="center"/>
        <w:rPr>
          <w:rFonts w:ascii="Optima" w:hAnsi="Optima"/>
          <w:bCs/>
          <w:color w:val="365F91" w:themeColor="accent1" w:themeShade="BF"/>
        </w:rPr>
      </w:pPr>
      <w:r w:rsidRPr="00732B2C">
        <w:rPr>
          <w:rFonts w:ascii="Optima" w:hAnsi="Optima"/>
          <w:bCs/>
          <w:color w:val="365F91" w:themeColor="accent1" w:themeShade="BF"/>
        </w:rPr>
        <w:t>Secrétariat Général de l’Union du Maghreb Arabe</w:t>
      </w:r>
    </w:p>
    <w:p w:rsidR="007502C1" w:rsidRPr="00732B2C" w:rsidRDefault="007502C1" w:rsidP="007502C1">
      <w:pPr>
        <w:tabs>
          <w:tab w:val="left" w:pos="5580"/>
        </w:tabs>
        <w:ind w:right="-650"/>
        <w:jc w:val="center"/>
        <w:rPr>
          <w:rFonts w:ascii="Optima" w:hAnsi="Optima"/>
          <w:bCs/>
          <w:color w:val="CC3300"/>
          <w:sz w:val="22"/>
          <w:szCs w:val="22"/>
        </w:rPr>
      </w:pPr>
    </w:p>
    <w:p w:rsidR="007502C1" w:rsidRPr="00732B2C" w:rsidRDefault="007502C1" w:rsidP="007502C1">
      <w:pPr>
        <w:ind w:right="-650"/>
        <w:jc w:val="center"/>
        <w:rPr>
          <w:rFonts w:ascii="Optima" w:hAnsi="Optima"/>
          <w:bCs/>
          <w:color w:val="E36C0A" w:themeColor="accent6" w:themeShade="BF"/>
          <w:sz w:val="22"/>
          <w:szCs w:val="22"/>
        </w:rPr>
      </w:pPr>
      <w:r w:rsidRPr="00732B2C">
        <w:rPr>
          <w:rFonts w:ascii="Optima" w:hAnsi="Optima"/>
          <w:bCs/>
          <w:color w:val="E36C0A" w:themeColor="accent6" w:themeShade="BF"/>
        </w:rPr>
        <w:t>Projet de renforcement des capacités du Secrétariat Général de l’UMA</w:t>
      </w:r>
    </w:p>
    <w:p w:rsidR="007502C1" w:rsidRPr="003E003E" w:rsidRDefault="007502C1" w:rsidP="007502C1">
      <w:pPr>
        <w:jc w:val="both"/>
        <w:rPr>
          <w:b/>
          <w:sz w:val="28"/>
          <w:szCs w:val="28"/>
        </w:rPr>
      </w:pPr>
    </w:p>
    <w:p w:rsidR="007502C1" w:rsidRPr="003E003E" w:rsidRDefault="007502C1" w:rsidP="007502C1">
      <w:pPr>
        <w:jc w:val="both"/>
        <w:rPr>
          <w:b/>
          <w:sz w:val="28"/>
          <w:szCs w:val="28"/>
        </w:rPr>
      </w:pPr>
    </w:p>
    <w:tbl>
      <w:tblPr>
        <w:tblW w:w="0" w:type="auto"/>
        <w:tblInd w:w="2988" w:type="dxa"/>
        <w:tblLayout w:type="fixed"/>
        <w:tblLook w:val="0000"/>
      </w:tblPr>
      <w:tblGrid>
        <w:gridCol w:w="1802"/>
        <w:gridCol w:w="1803"/>
      </w:tblGrid>
      <w:tr w:rsidR="007502C1" w:rsidTr="001D0780">
        <w:trPr>
          <w:trHeight w:val="1298"/>
        </w:trPr>
        <w:tc>
          <w:tcPr>
            <w:tcW w:w="1802" w:type="dxa"/>
            <w:vAlign w:val="center"/>
          </w:tcPr>
          <w:p w:rsidR="007502C1" w:rsidRDefault="007502C1" w:rsidP="001D0780">
            <w:pPr>
              <w:jc w:val="center"/>
              <w:rPr>
                <w:b/>
                <w:sz w:val="28"/>
                <w:szCs w:val="28"/>
              </w:rPr>
            </w:pPr>
            <w:bookmarkStart w:id="0" w:name="OLE_LINK6"/>
            <w:bookmarkStart w:id="1" w:name="OLE_LINK7"/>
            <w:r>
              <w:rPr>
                <w:rFonts w:ascii="Cambria" w:hAnsi="Cambria"/>
                <w:b/>
                <w:bCs/>
                <w:i/>
                <w:iCs/>
                <w:noProof/>
                <w:sz w:val="20"/>
                <w:lang w:val="en-US" w:eastAsia="en-US"/>
              </w:rPr>
              <w:drawing>
                <wp:inline distT="0" distB="0" distL="0" distR="0">
                  <wp:extent cx="885825" cy="762000"/>
                  <wp:effectExtent l="19050" t="0" r="9525" b="0"/>
                  <wp:docPr id="1" name="Image 32" descr="Logo 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Logo N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bookmarkEnd w:id="1"/>
          </w:p>
        </w:tc>
        <w:tc>
          <w:tcPr>
            <w:tcW w:w="1803" w:type="dxa"/>
            <w:shd w:val="clear" w:color="auto" w:fill="auto"/>
            <w:vAlign w:val="center"/>
          </w:tcPr>
          <w:p w:rsidR="007502C1" w:rsidRDefault="007502C1" w:rsidP="001D0780">
            <w:pPr>
              <w:jc w:val="center"/>
              <w:rPr>
                <w:b/>
                <w:sz w:val="28"/>
                <w:szCs w:val="28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>
              <w:rPr>
                <w:rFonts w:ascii="Cambria" w:hAnsi="Cambria"/>
                <w:i/>
                <w:iCs/>
                <w:noProof/>
                <w:sz w:val="36"/>
                <w:szCs w:val="36"/>
                <w:lang w:val="en-US" w:eastAsia="en-US"/>
              </w:rPr>
              <w:drawing>
                <wp:inline distT="0" distB="0" distL="0" distR="0">
                  <wp:extent cx="904875" cy="847725"/>
                  <wp:effectExtent l="19050" t="0" r="9525" b="0"/>
                  <wp:docPr id="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bookmarkEnd w:id="3"/>
            <w:bookmarkEnd w:id="4"/>
            <w:bookmarkEnd w:id="5"/>
          </w:p>
        </w:tc>
      </w:tr>
    </w:tbl>
    <w:p w:rsidR="007502C1" w:rsidRPr="003E003E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center"/>
        <w:rPr>
          <w:rFonts w:ascii="Optima" w:hAnsi="Optima"/>
          <w:b/>
          <w:color w:val="F5750B"/>
          <w:sz w:val="36"/>
          <w:szCs w:val="36"/>
        </w:rPr>
      </w:pPr>
    </w:p>
    <w:p w:rsidR="007502C1" w:rsidRPr="00732B2C" w:rsidRDefault="007502C1" w:rsidP="007502C1">
      <w:pPr>
        <w:jc w:val="center"/>
        <w:rPr>
          <w:rFonts w:ascii="Optima" w:hAnsi="Optima"/>
          <w:b/>
          <w:color w:val="365F91" w:themeColor="accent1" w:themeShade="BF"/>
          <w:sz w:val="44"/>
          <w:szCs w:val="44"/>
        </w:rPr>
      </w:pPr>
      <w:r w:rsidRPr="00732B2C">
        <w:rPr>
          <w:rFonts w:ascii="Optima" w:hAnsi="Optima"/>
          <w:b/>
          <w:color w:val="365F91" w:themeColor="accent1" w:themeShade="BF"/>
          <w:sz w:val="44"/>
          <w:szCs w:val="44"/>
        </w:rPr>
        <w:t xml:space="preserve">Etude de la faisabilité d’un mécanisme de </w:t>
      </w:r>
    </w:p>
    <w:p w:rsidR="007502C1" w:rsidRPr="00732B2C" w:rsidRDefault="007502C1" w:rsidP="007502C1">
      <w:pPr>
        <w:jc w:val="center"/>
        <w:rPr>
          <w:rFonts w:ascii="Optima" w:hAnsi="Optima"/>
          <w:b/>
          <w:color w:val="365F91" w:themeColor="accent1" w:themeShade="BF"/>
          <w:sz w:val="44"/>
          <w:szCs w:val="44"/>
        </w:rPr>
      </w:pPr>
      <w:proofErr w:type="gramStart"/>
      <w:r w:rsidRPr="00732B2C">
        <w:rPr>
          <w:rFonts w:ascii="Optima" w:hAnsi="Optima"/>
          <w:b/>
          <w:color w:val="365F91" w:themeColor="accent1" w:themeShade="BF"/>
          <w:sz w:val="44"/>
          <w:szCs w:val="44"/>
        </w:rPr>
        <w:t>financement</w:t>
      </w:r>
      <w:proofErr w:type="gramEnd"/>
      <w:r w:rsidRPr="00732B2C">
        <w:rPr>
          <w:rFonts w:ascii="Optima" w:hAnsi="Optima"/>
          <w:b/>
          <w:color w:val="365F91" w:themeColor="accent1" w:themeShade="BF"/>
          <w:sz w:val="44"/>
          <w:szCs w:val="44"/>
        </w:rPr>
        <w:t xml:space="preserve"> autonome de l’UMA</w:t>
      </w:r>
    </w:p>
    <w:p w:rsidR="007502C1" w:rsidRPr="003E003E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both"/>
        <w:rPr>
          <w:b/>
          <w:sz w:val="28"/>
          <w:szCs w:val="28"/>
        </w:rPr>
      </w:pPr>
    </w:p>
    <w:p w:rsidR="007502C1" w:rsidRPr="003E003E" w:rsidRDefault="007502C1" w:rsidP="007502C1">
      <w:pPr>
        <w:jc w:val="both"/>
        <w:rPr>
          <w:b/>
          <w:sz w:val="28"/>
          <w:szCs w:val="28"/>
        </w:rPr>
      </w:pPr>
    </w:p>
    <w:p w:rsidR="007502C1" w:rsidRDefault="007502C1" w:rsidP="007502C1">
      <w:pPr>
        <w:jc w:val="right"/>
        <w:rPr>
          <w:rFonts w:ascii="Optima" w:hAnsi="Optima"/>
          <w:b/>
          <w:color w:val="336699"/>
          <w:sz w:val="28"/>
          <w:szCs w:val="28"/>
        </w:rPr>
      </w:pPr>
    </w:p>
    <w:tbl>
      <w:tblPr>
        <w:tblpPr w:leftFromText="180" w:rightFromText="180" w:vertAnchor="page" w:horzAnchor="margin" w:tblpY="13501"/>
        <w:tblW w:w="9650" w:type="dxa"/>
        <w:tblLook w:val="0000"/>
      </w:tblPr>
      <w:tblGrid>
        <w:gridCol w:w="2406"/>
        <w:gridCol w:w="2205"/>
        <w:gridCol w:w="2736"/>
        <w:gridCol w:w="2303"/>
      </w:tblGrid>
      <w:tr w:rsidR="007502C1" w:rsidTr="001D0780">
        <w:trPr>
          <w:trHeight w:val="1800"/>
        </w:trPr>
        <w:tc>
          <w:tcPr>
            <w:tcW w:w="2406" w:type="dxa"/>
            <w:shd w:val="clear" w:color="auto" w:fill="auto"/>
          </w:tcPr>
          <w:p w:rsidR="007502C1" w:rsidRPr="009754AA" w:rsidRDefault="007502C1" w:rsidP="001D0780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371600" cy="1143000"/>
                  <wp:effectExtent l="19050" t="0" r="0" b="0"/>
                  <wp:docPr id="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shd w:val="clear" w:color="auto" w:fill="auto"/>
          </w:tcPr>
          <w:p w:rsidR="007502C1" w:rsidRPr="009754AA" w:rsidRDefault="007502C1" w:rsidP="001D0780">
            <w:pPr>
              <w:ind w:left="-209" w:right="-172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485900" cy="1143000"/>
                  <wp:effectExtent l="19050" t="0" r="0" b="0"/>
                  <wp:docPr id="8" name="Image 4" descr="Mosa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sa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  <w:shd w:val="clear" w:color="auto" w:fill="auto"/>
          </w:tcPr>
          <w:p w:rsidR="007502C1" w:rsidRPr="009754AA" w:rsidRDefault="007502C1" w:rsidP="001D0780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571625" cy="1143000"/>
                  <wp:effectExtent l="19050" t="0" r="9525" b="0"/>
                  <wp:docPr id="9" name="Image 5" descr="untitled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titled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auto"/>
          </w:tcPr>
          <w:p w:rsidR="007502C1" w:rsidRPr="009754AA" w:rsidRDefault="007502C1" w:rsidP="001D0780">
            <w:pPr>
              <w:ind w:left="-397" w:right="-396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809750" cy="1143000"/>
                  <wp:effectExtent l="19050" t="0" r="0" b="0"/>
                  <wp:docPr id="10" name="Image 6" descr="untitle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titled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02C1" w:rsidRDefault="007502C1" w:rsidP="007502C1">
      <w:pPr>
        <w:jc w:val="center"/>
        <w:rPr>
          <w:b/>
          <w:color w:val="333399"/>
          <w:sz w:val="32"/>
          <w:szCs w:val="32"/>
        </w:rPr>
      </w:pPr>
    </w:p>
    <w:p w:rsidR="00FD2F6E" w:rsidRPr="00732B2C" w:rsidRDefault="007502C1" w:rsidP="00732B2C">
      <w:pPr>
        <w:jc w:val="right"/>
        <w:rPr>
          <w:color w:val="E36C0A" w:themeColor="accent6" w:themeShade="BF"/>
        </w:rPr>
      </w:pPr>
      <w:r w:rsidRPr="00732B2C">
        <w:rPr>
          <w:rFonts w:ascii="Optima" w:hAnsi="Optima"/>
          <w:b/>
          <w:color w:val="E36C0A" w:themeColor="accent6" w:themeShade="BF"/>
          <w:sz w:val="28"/>
          <w:szCs w:val="28"/>
        </w:rPr>
        <w:t>Décembre  2013</w:t>
      </w:r>
    </w:p>
    <w:sectPr w:rsidR="00FD2F6E" w:rsidRPr="00732B2C" w:rsidSect="00D2719B">
      <w:headerReference w:type="even" r:id="rId13"/>
      <w:headerReference w:type="default" r:id="rId14"/>
      <w:footerReference w:type="default" r:id="rId15"/>
      <w:footerReference w:type="first" r:id="rId16"/>
      <w:type w:val="continuous"/>
      <w:pgSz w:w="11907" w:h="16839" w:code="9"/>
      <w:pgMar w:top="426" w:right="1418" w:bottom="1418" w:left="1418" w:header="709" w:footer="709" w:gutter="0"/>
      <w:cols w:space="165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EB2" w:rsidRDefault="00EB2EB2" w:rsidP="00732B2C">
      <w:r>
        <w:separator/>
      </w:r>
    </w:p>
  </w:endnote>
  <w:endnote w:type="continuationSeparator" w:id="0">
    <w:p w:rsidR="00EB2EB2" w:rsidRDefault="00EB2EB2" w:rsidP="00732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74" w:rsidRPr="00B93C0C" w:rsidRDefault="00EB2EB2" w:rsidP="00ED5393">
    <w:pPr>
      <w:pStyle w:val="Pieddepage"/>
      <w:jc w:val="right"/>
      <w:rPr>
        <w:color w:val="33339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93D" w:rsidRDefault="00EB2EB2" w:rsidP="0014293D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EB2" w:rsidRDefault="00EB2EB2" w:rsidP="00732B2C">
      <w:r>
        <w:separator/>
      </w:r>
    </w:p>
  </w:footnote>
  <w:footnote w:type="continuationSeparator" w:id="0">
    <w:p w:rsidR="00EB2EB2" w:rsidRDefault="00EB2EB2" w:rsidP="00732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3D9" w:rsidRPr="009178FA" w:rsidRDefault="00EB2EB2" w:rsidP="00BA23D9">
    <w:pPr>
      <w:ind w:right="-110"/>
      <w:rPr>
        <w:rFonts w:ascii="Palatino Linotype" w:hAnsi="Palatino Linotype"/>
        <w:bCs/>
        <w:i/>
        <w:iCs/>
        <w:color w:val="943634" w:themeColor="accent2" w:themeShade="BF"/>
        <w:sz w:val="16"/>
        <w:szCs w:val="16"/>
      </w:rPr>
    </w:pPr>
    <w:r w:rsidRPr="009178FA">
      <w:rPr>
        <w:rFonts w:ascii="Palatino Linotype" w:hAnsi="Palatino Linotype"/>
        <w:bCs/>
        <w:i/>
        <w:iCs/>
        <w:color w:val="943634" w:themeColor="accent2" w:themeShade="BF"/>
        <w:sz w:val="16"/>
        <w:szCs w:val="16"/>
      </w:rPr>
      <w:t xml:space="preserve">Etat de la mise en œuvre du Programme pluriannuel de travail avec le </w:t>
    </w:r>
  </w:p>
  <w:p w:rsidR="00BA23D9" w:rsidRPr="009178FA" w:rsidRDefault="00EB2EB2" w:rsidP="00BA23D9">
    <w:pPr>
      <w:ind w:right="-110"/>
      <w:rPr>
        <w:rFonts w:ascii="Palatino Linotype" w:hAnsi="Palatino Linotype"/>
        <w:bCs/>
        <w:i/>
        <w:iCs/>
        <w:color w:val="943634" w:themeColor="accent2" w:themeShade="BF"/>
        <w:sz w:val="16"/>
        <w:szCs w:val="16"/>
      </w:rPr>
    </w:pPr>
    <w:r w:rsidRPr="009178FA">
      <w:rPr>
        <w:rFonts w:ascii="Palatino Linotype" w:hAnsi="Palatino Linotype"/>
        <w:bCs/>
        <w:i/>
        <w:iCs/>
        <w:color w:val="943634" w:themeColor="accent2" w:themeShade="BF"/>
        <w:sz w:val="16"/>
        <w:szCs w:val="16"/>
      </w:rPr>
      <w:t xml:space="preserve">Secrétariat Général de l’Union du Maghreb Arabe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DE" w:rsidRPr="00732B2C" w:rsidRDefault="00EB2EB2" w:rsidP="00732B2C">
    <w:pPr>
      <w:pStyle w:val="En-tte"/>
      <w:rPr>
        <w:szCs w:val="16"/>
      </w:rPr>
    </w:pPr>
    <w:r w:rsidRPr="00732B2C">
      <w:rPr>
        <w:szCs w:val="16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2C1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B6A95"/>
    <w:rsid w:val="003D103E"/>
    <w:rsid w:val="003F0B6E"/>
    <w:rsid w:val="003F30C4"/>
    <w:rsid w:val="00400D28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5D7CA9"/>
    <w:rsid w:val="005E1B6D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32B2C"/>
    <w:rsid w:val="007502C1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5C0B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4524A"/>
    <w:rsid w:val="00A555D2"/>
    <w:rsid w:val="00A83F85"/>
    <w:rsid w:val="00A841F4"/>
    <w:rsid w:val="00AA2655"/>
    <w:rsid w:val="00AD04B6"/>
    <w:rsid w:val="00AE4F1E"/>
    <w:rsid w:val="00B0203D"/>
    <w:rsid w:val="00B05FF4"/>
    <w:rsid w:val="00B2464E"/>
    <w:rsid w:val="00B362AC"/>
    <w:rsid w:val="00B65C76"/>
    <w:rsid w:val="00B86D3D"/>
    <w:rsid w:val="00BC17AC"/>
    <w:rsid w:val="00BC41C7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90943"/>
    <w:rsid w:val="00CB4580"/>
    <w:rsid w:val="00CC132F"/>
    <w:rsid w:val="00CD69F6"/>
    <w:rsid w:val="00D00AC2"/>
    <w:rsid w:val="00D13099"/>
    <w:rsid w:val="00D2719B"/>
    <w:rsid w:val="00D46178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B2EB2"/>
    <w:rsid w:val="00EC5790"/>
    <w:rsid w:val="00ED7607"/>
    <w:rsid w:val="00EF2AC3"/>
    <w:rsid w:val="00F43DE5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502C1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02C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732B2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32B2C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Mosseddek</dc:creator>
  <cp:keywords/>
  <dc:description/>
  <cp:lastModifiedBy> Mosseddek</cp:lastModifiedBy>
  <cp:revision>2</cp:revision>
  <cp:lastPrinted>2013-12-10T15:16:00Z</cp:lastPrinted>
  <dcterms:created xsi:type="dcterms:W3CDTF">2013-12-10T14:38:00Z</dcterms:created>
  <dcterms:modified xsi:type="dcterms:W3CDTF">2013-12-10T15:22:00Z</dcterms:modified>
</cp:coreProperties>
</file>