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ECA" w:rsidRDefault="00764FFA" w:rsidP="00F822D5">
      <w:pPr>
        <w:spacing w:after="80"/>
        <w:ind w:right="-142"/>
        <w:jc w:val="both"/>
        <w:rPr>
          <w:sz w:val="24"/>
          <w:szCs w:val="24"/>
          <w:u w:val="single"/>
        </w:rPr>
      </w:pPr>
      <w:r w:rsidRPr="00764FFA">
        <w:rPr>
          <w:noProof/>
          <w:lang w:eastAsia="fr-FR"/>
        </w:rPr>
        <w:pict>
          <v:shapetype id="_x0000_t202" coordsize="21600,21600" o:spt="202" path="m,l,21600r21600,l21600,xe">
            <v:stroke joinstyle="miter"/>
            <v:path gradientshapeok="t" o:connecttype="rect"/>
          </v:shapetype>
          <v:shape id="_x0000_s1027" type="#_x0000_t202" style="position:absolute;left:0;text-align:left;margin-left:-3.15pt;margin-top:-11.6pt;width:186pt;height:55.2pt;z-index:251658240" stroked="f">
            <v:textbox style="mso-next-textbox:#_x0000_s1027">
              <w:txbxContent>
                <w:p w:rsidR="00A94D19" w:rsidRPr="00A94D19" w:rsidRDefault="00A94D19" w:rsidP="00113D1D">
                  <w:pPr>
                    <w:spacing w:after="0" w:line="240" w:lineRule="auto"/>
                    <w:rPr>
                      <w:b/>
                      <w:color w:val="0070C0"/>
                      <w:sz w:val="20"/>
                      <w:szCs w:val="20"/>
                    </w:rPr>
                  </w:pPr>
                  <w:r w:rsidRPr="00A94D19">
                    <w:rPr>
                      <w:b/>
                      <w:color w:val="0070C0"/>
                      <w:sz w:val="20"/>
                      <w:szCs w:val="20"/>
                    </w:rPr>
                    <w:t xml:space="preserve">Nations Unies </w:t>
                  </w:r>
                </w:p>
                <w:p w:rsidR="00A94D19" w:rsidRPr="00A94D19" w:rsidRDefault="00A94D19" w:rsidP="00113D1D">
                  <w:pPr>
                    <w:spacing w:after="0" w:line="240" w:lineRule="auto"/>
                    <w:rPr>
                      <w:b/>
                      <w:color w:val="0070C0"/>
                      <w:sz w:val="20"/>
                      <w:szCs w:val="20"/>
                    </w:rPr>
                  </w:pPr>
                  <w:r w:rsidRPr="00A94D19">
                    <w:rPr>
                      <w:b/>
                      <w:color w:val="0070C0"/>
                      <w:sz w:val="20"/>
                      <w:szCs w:val="20"/>
                    </w:rPr>
                    <w:t xml:space="preserve">Commission économique pour l’Afrique </w:t>
                  </w:r>
                </w:p>
                <w:p w:rsidR="00A94D19" w:rsidRPr="00A94D19" w:rsidRDefault="00A94D19" w:rsidP="00113D1D">
                  <w:pPr>
                    <w:spacing w:after="0" w:line="240" w:lineRule="auto"/>
                    <w:rPr>
                      <w:b/>
                      <w:color w:val="0070C0"/>
                      <w:sz w:val="20"/>
                      <w:szCs w:val="20"/>
                    </w:rPr>
                  </w:pPr>
                  <w:r w:rsidRPr="00A94D19">
                    <w:rPr>
                      <w:b/>
                      <w:color w:val="0070C0"/>
                      <w:sz w:val="20"/>
                      <w:szCs w:val="20"/>
                    </w:rPr>
                    <w:t>Bureau pour l’Afrique du Nord</w:t>
                  </w:r>
                </w:p>
              </w:txbxContent>
            </v:textbox>
          </v:shape>
        </w:pict>
      </w:r>
      <w:r w:rsidR="00914286">
        <w:rPr>
          <w:noProof/>
          <w:lang w:val="en-US"/>
        </w:rPr>
        <w:drawing>
          <wp:anchor distT="0" distB="0" distL="114300" distR="114300" simplePos="0" relativeHeight="251657216" behindDoc="0" locked="0" layoutInCell="1" allowOverlap="1">
            <wp:simplePos x="0" y="0"/>
            <wp:positionH relativeFrom="margin">
              <wp:posOffset>-76835</wp:posOffset>
            </wp:positionH>
            <wp:positionV relativeFrom="margin">
              <wp:posOffset>-253365</wp:posOffset>
            </wp:positionV>
            <wp:extent cx="903605" cy="758825"/>
            <wp:effectExtent l="19050" t="0" r="0" b="0"/>
            <wp:wrapSquare wrapText="bothSides"/>
            <wp:docPr id="5" name="il_fi" descr="http://www.uneca.org/statistics/images/un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uneca.org/statistics/images/unlogo.jpg"/>
                    <pic:cNvPicPr>
                      <a:picLocks noChangeAspect="1" noChangeArrowheads="1"/>
                    </pic:cNvPicPr>
                  </pic:nvPicPr>
                  <pic:blipFill>
                    <a:blip r:embed="rId8" cstate="print"/>
                    <a:srcRect/>
                    <a:stretch>
                      <a:fillRect/>
                    </a:stretch>
                  </pic:blipFill>
                  <pic:spPr bwMode="auto">
                    <a:xfrm>
                      <a:off x="0" y="0"/>
                      <a:ext cx="903605" cy="758825"/>
                    </a:xfrm>
                    <a:prstGeom prst="rect">
                      <a:avLst/>
                    </a:prstGeom>
                    <a:noFill/>
                    <a:ln w="9525">
                      <a:noFill/>
                      <a:miter lim="800000"/>
                      <a:headEnd/>
                      <a:tailEnd/>
                    </a:ln>
                  </pic:spPr>
                </pic:pic>
              </a:graphicData>
            </a:graphic>
          </wp:anchor>
        </w:drawing>
      </w:r>
    </w:p>
    <w:p w:rsidR="007F1C40" w:rsidRDefault="007F1C40" w:rsidP="007F1C40">
      <w:pPr>
        <w:spacing w:after="80"/>
        <w:ind w:right="-142"/>
        <w:rPr>
          <w:sz w:val="24"/>
          <w:szCs w:val="24"/>
        </w:rPr>
      </w:pPr>
    </w:p>
    <w:p w:rsidR="00B62CC2" w:rsidRDefault="007A2A3C" w:rsidP="0036757A">
      <w:pPr>
        <w:spacing w:after="80"/>
        <w:ind w:right="-142"/>
        <w:jc w:val="right"/>
        <w:rPr>
          <w:rFonts w:ascii="Arial" w:hAnsi="Arial"/>
        </w:rPr>
      </w:pPr>
      <w:r>
        <w:rPr>
          <w:sz w:val="24"/>
          <w:szCs w:val="24"/>
        </w:rPr>
        <w:t>Rabat, le</w:t>
      </w:r>
      <w:r w:rsidR="00B62CC2">
        <w:rPr>
          <w:sz w:val="24"/>
          <w:szCs w:val="24"/>
        </w:rPr>
        <w:t xml:space="preserve"> </w:t>
      </w:r>
      <w:r w:rsidR="00043428">
        <w:rPr>
          <w:sz w:val="24"/>
          <w:szCs w:val="24"/>
        </w:rPr>
        <w:t xml:space="preserve">29 septembre 2012 </w:t>
      </w: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043428" w:rsidRPr="00043428" w:rsidRDefault="00043428" w:rsidP="00043428">
      <w:pPr>
        <w:jc w:val="center"/>
        <w:rPr>
          <w:rFonts w:ascii="Arial Rounded MT Bold" w:hAnsi="Arial Rounded MT Bold"/>
          <w:b/>
          <w:color w:val="548DD4"/>
          <w:sz w:val="24"/>
          <w:szCs w:val="24"/>
        </w:rPr>
      </w:pPr>
      <w:r w:rsidRPr="00043428">
        <w:rPr>
          <w:rFonts w:ascii="Arial Rounded MT Bold" w:hAnsi="Arial Rounded MT Bold"/>
          <w:b/>
          <w:color w:val="548DD4"/>
          <w:sz w:val="24"/>
          <w:szCs w:val="24"/>
        </w:rPr>
        <w:t>Communiqué de Presse</w:t>
      </w:r>
    </w:p>
    <w:p w:rsidR="00043428" w:rsidRPr="009A7536" w:rsidRDefault="00043428" w:rsidP="009A7536">
      <w:pPr>
        <w:pStyle w:val="Corpsdetexte"/>
        <w:jc w:val="center"/>
        <w:rPr>
          <w:b/>
          <w:sz w:val="20"/>
          <w:szCs w:val="20"/>
          <w:u w:val="single"/>
        </w:rPr>
      </w:pPr>
      <w:r w:rsidRPr="009A7536">
        <w:rPr>
          <w:b/>
          <w:sz w:val="20"/>
          <w:szCs w:val="20"/>
          <w:u w:val="single"/>
        </w:rPr>
        <w:t>Réunion d’experts  sur le financement des projets d’énergies renouvelables en Afrique du Nord </w:t>
      </w:r>
    </w:p>
    <w:p w:rsidR="00B14927" w:rsidRDefault="00B14927" w:rsidP="004D1507">
      <w:pPr>
        <w:pStyle w:val="Corpsdetexte"/>
        <w:jc w:val="center"/>
        <w:rPr>
          <w:b/>
        </w:rPr>
      </w:pPr>
    </w:p>
    <w:p w:rsidR="00297910" w:rsidRDefault="00E83DCF" w:rsidP="004D1507">
      <w:pPr>
        <w:pStyle w:val="Corpsdetexte"/>
        <w:jc w:val="center"/>
        <w:rPr>
          <w:b/>
        </w:rPr>
      </w:pPr>
      <w:r w:rsidRPr="009A7536">
        <w:rPr>
          <w:b/>
        </w:rPr>
        <w:t xml:space="preserve">Promouvoir des mécanismes innovants de financement </w:t>
      </w:r>
    </w:p>
    <w:p w:rsidR="004D1507" w:rsidRPr="009A7536" w:rsidRDefault="00B14927" w:rsidP="004D1507">
      <w:pPr>
        <w:pStyle w:val="Corpsdetexte"/>
        <w:jc w:val="center"/>
        <w:rPr>
          <w:b/>
        </w:rPr>
      </w:pPr>
      <w:proofErr w:type="gramStart"/>
      <w:r w:rsidRPr="009A7536">
        <w:rPr>
          <w:b/>
        </w:rPr>
        <w:t>a</w:t>
      </w:r>
      <w:r>
        <w:rPr>
          <w:b/>
        </w:rPr>
        <w:t>ccélérera</w:t>
      </w:r>
      <w:proofErr w:type="gramEnd"/>
      <w:r>
        <w:rPr>
          <w:b/>
        </w:rPr>
        <w:t xml:space="preserve"> le </w:t>
      </w:r>
      <w:r w:rsidR="009A7536" w:rsidRPr="009A7536">
        <w:rPr>
          <w:b/>
        </w:rPr>
        <w:t xml:space="preserve">développement de ce </w:t>
      </w:r>
      <w:r w:rsidR="00E83DCF" w:rsidRPr="009A7536">
        <w:rPr>
          <w:b/>
        </w:rPr>
        <w:t xml:space="preserve">secteur </w:t>
      </w:r>
      <w:r w:rsidR="009A7536" w:rsidRPr="009A7536">
        <w:rPr>
          <w:b/>
        </w:rPr>
        <w:t>clé</w:t>
      </w:r>
      <w:r w:rsidR="00E83DCF" w:rsidRPr="009A7536">
        <w:rPr>
          <w:b/>
        </w:rPr>
        <w:t xml:space="preserve"> </w:t>
      </w:r>
    </w:p>
    <w:p w:rsidR="004D1507" w:rsidRDefault="004D1507" w:rsidP="004D1507">
      <w:pPr>
        <w:pStyle w:val="Corpsdetexte"/>
        <w:rPr>
          <w:b/>
          <w:sz w:val="18"/>
          <w:szCs w:val="18"/>
        </w:rPr>
      </w:pPr>
    </w:p>
    <w:p w:rsidR="00043428" w:rsidRPr="009A7536" w:rsidRDefault="00043428" w:rsidP="004D1507">
      <w:pPr>
        <w:pStyle w:val="Corpsdetexte"/>
        <w:jc w:val="both"/>
        <w:rPr>
          <w:rFonts w:ascii="Arial" w:hAnsi="Arial" w:cs="Arial"/>
          <w:bCs/>
          <w:sz w:val="20"/>
          <w:szCs w:val="20"/>
        </w:rPr>
      </w:pPr>
      <w:r w:rsidRPr="009A7536">
        <w:rPr>
          <w:rFonts w:ascii="Arial" w:hAnsi="Arial" w:cs="Arial"/>
          <w:sz w:val="20"/>
          <w:szCs w:val="20"/>
        </w:rPr>
        <w:t xml:space="preserve">Soucieux d’appuyer les efforts de ses Etats membres pour le développement du secteur des énergies renouvelables (ER) en </w:t>
      </w:r>
      <w:r w:rsidRPr="009A7536">
        <w:rPr>
          <w:rFonts w:ascii="Arial" w:hAnsi="Arial" w:cs="Arial"/>
          <w:bCs/>
          <w:sz w:val="20"/>
          <w:szCs w:val="20"/>
        </w:rPr>
        <w:t xml:space="preserve">Afrique du Nord, </w:t>
      </w:r>
      <w:r w:rsidRPr="009A7536">
        <w:rPr>
          <w:rFonts w:ascii="Arial" w:hAnsi="Arial" w:cs="Arial"/>
          <w:sz w:val="20"/>
          <w:szCs w:val="20"/>
        </w:rPr>
        <w:t xml:space="preserve">le Bureau pour l’Afrique du Nord de la Commission Economique des Nations Unies pour l’Afrique (BAN/ UN-CEA) a lancé en 2011 un projet sur les mécanismes innovants </w:t>
      </w:r>
      <w:r w:rsidR="00B14927">
        <w:rPr>
          <w:rFonts w:ascii="Arial" w:hAnsi="Arial" w:cs="Arial"/>
          <w:sz w:val="20"/>
          <w:szCs w:val="20"/>
        </w:rPr>
        <w:t xml:space="preserve">et durables </w:t>
      </w:r>
      <w:r w:rsidRPr="009A7536">
        <w:rPr>
          <w:rFonts w:ascii="Arial" w:hAnsi="Arial" w:cs="Arial"/>
          <w:sz w:val="20"/>
          <w:szCs w:val="20"/>
        </w:rPr>
        <w:t xml:space="preserve">de financement des ER qui vise </w:t>
      </w:r>
      <w:r w:rsidRPr="009A7536">
        <w:rPr>
          <w:rFonts w:ascii="Arial" w:hAnsi="Arial" w:cs="Arial"/>
          <w:bCs/>
          <w:sz w:val="20"/>
          <w:szCs w:val="20"/>
        </w:rPr>
        <w:t xml:space="preserve">à établir une base de connaissances sur </w:t>
      </w:r>
      <w:r w:rsidR="00B14927">
        <w:rPr>
          <w:rFonts w:ascii="Arial" w:hAnsi="Arial" w:cs="Arial"/>
          <w:bCs/>
          <w:sz w:val="20"/>
          <w:szCs w:val="20"/>
        </w:rPr>
        <w:t>c</w:t>
      </w:r>
      <w:r w:rsidRPr="009A7536">
        <w:rPr>
          <w:rFonts w:ascii="Arial" w:hAnsi="Arial" w:cs="Arial"/>
          <w:bCs/>
          <w:sz w:val="20"/>
          <w:szCs w:val="20"/>
        </w:rPr>
        <w:t>es mécanismes et renforcer la coopération régionale.</w:t>
      </w:r>
    </w:p>
    <w:p w:rsidR="009A7536" w:rsidRDefault="009A7536" w:rsidP="00043428">
      <w:pPr>
        <w:spacing w:after="120"/>
        <w:jc w:val="both"/>
        <w:rPr>
          <w:rFonts w:ascii="Arial" w:hAnsi="Arial"/>
          <w:bCs/>
          <w:iCs/>
          <w:sz w:val="20"/>
          <w:szCs w:val="20"/>
        </w:rPr>
      </w:pPr>
    </w:p>
    <w:p w:rsidR="00043428" w:rsidRPr="009A7536" w:rsidRDefault="004D1507" w:rsidP="00043428">
      <w:pPr>
        <w:spacing w:after="120"/>
        <w:jc w:val="both"/>
        <w:rPr>
          <w:rFonts w:ascii="Arial" w:hAnsi="Arial"/>
          <w:sz w:val="20"/>
          <w:szCs w:val="20"/>
        </w:rPr>
      </w:pPr>
      <w:r w:rsidRPr="009A7536">
        <w:rPr>
          <w:rFonts w:ascii="Arial" w:hAnsi="Arial"/>
          <w:bCs/>
          <w:iCs/>
          <w:sz w:val="20"/>
          <w:szCs w:val="20"/>
        </w:rPr>
        <w:t>U</w:t>
      </w:r>
      <w:r w:rsidR="00043428" w:rsidRPr="009A7536">
        <w:rPr>
          <w:rFonts w:ascii="Arial" w:hAnsi="Arial"/>
          <w:bCs/>
          <w:iCs/>
          <w:sz w:val="20"/>
          <w:szCs w:val="20"/>
        </w:rPr>
        <w:t>ne étude sur les « M</w:t>
      </w:r>
      <w:r w:rsidR="00043428" w:rsidRPr="009A7536">
        <w:rPr>
          <w:rFonts w:ascii="Arial" w:hAnsi="Arial"/>
          <w:sz w:val="20"/>
          <w:szCs w:val="20"/>
        </w:rPr>
        <w:t xml:space="preserve">écanismes innovants de financement des énergies renouvelables  en Afrique du Nord » </w:t>
      </w:r>
      <w:r w:rsidR="00043428" w:rsidRPr="009A7536">
        <w:rPr>
          <w:rFonts w:ascii="Arial" w:hAnsi="Arial"/>
          <w:bCs/>
          <w:iCs/>
          <w:sz w:val="20"/>
          <w:szCs w:val="20"/>
        </w:rPr>
        <w:t xml:space="preserve">réalisée par  </w:t>
      </w:r>
      <w:r w:rsidR="00043428" w:rsidRPr="009A7536">
        <w:rPr>
          <w:rFonts w:ascii="Arial" w:hAnsi="Arial"/>
          <w:sz w:val="20"/>
          <w:szCs w:val="20"/>
        </w:rPr>
        <w:t>le Bureau souligne l’insuffisance des mesures règlementaires actuelles peu attractives, ainsi que les limites des systèmes de financement conventionnels, notamment pour les projets de faible envergure</w:t>
      </w:r>
      <w:r w:rsidRPr="009A7536">
        <w:rPr>
          <w:rFonts w:ascii="Arial" w:hAnsi="Arial"/>
          <w:sz w:val="20"/>
          <w:szCs w:val="20"/>
        </w:rPr>
        <w:t xml:space="preserve">, </w:t>
      </w:r>
      <w:r w:rsidR="00043428" w:rsidRPr="009A7536">
        <w:rPr>
          <w:rFonts w:ascii="Arial" w:hAnsi="Arial"/>
          <w:sz w:val="20"/>
          <w:szCs w:val="20"/>
        </w:rPr>
        <w:t xml:space="preserve">à caractère social. S’inspirant des principales expériences dans la région et des enseignements tirés de l’expérience internationale, l’étude a aussi recensé les bonnes pratiques mises en œuvre en la matière par certains pays, tout en proposant une série d’options adaptées aux spécificités de la région. </w:t>
      </w:r>
    </w:p>
    <w:p w:rsidR="009A7536" w:rsidRDefault="009A7536" w:rsidP="00043428">
      <w:pPr>
        <w:spacing w:after="120"/>
        <w:jc w:val="both"/>
        <w:rPr>
          <w:rFonts w:ascii="Arial" w:hAnsi="Arial"/>
          <w:sz w:val="20"/>
          <w:szCs w:val="20"/>
        </w:rPr>
      </w:pPr>
    </w:p>
    <w:p w:rsidR="00043428" w:rsidRPr="009A7536" w:rsidRDefault="004D1507" w:rsidP="00043428">
      <w:pPr>
        <w:spacing w:after="120"/>
        <w:jc w:val="both"/>
        <w:rPr>
          <w:rFonts w:ascii="Arial" w:hAnsi="Arial"/>
          <w:sz w:val="20"/>
          <w:szCs w:val="20"/>
        </w:rPr>
      </w:pPr>
      <w:r w:rsidRPr="009A7536">
        <w:rPr>
          <w:rFonts w:ascii="Arial" w:hAnsi="Arial"/>
          <w:sz w:val="20"/>
          <w:szCs w:val="20"/>
        </w:rPr>
        <w:t>L</w:t>
      </w:r>
      <w:r w:rsidR="00043428" w:rsidRPr="009A7536">
        <w:rPr>
          <w:rFonts w:ascii="Arial" w:hAnsi="Arial"/>
          <w:sz w:val="20"/>
          <w:szCs w:val="20"/>
        </w:rPr>
        <w:t>’étude plaide pour une approche de financement basée sur le Partenariat Public-Privé, ainsi que la mobilisation de ressources financières prévisibles et stables</w:t>
      </w:r>
      <w:r w:rsidR="00B14927">
        <w:rPr>
          <w:rFonts w:ascii="Arial" w:hAnsi="Arial"/>
          <w:sz w:val="20"/>
          <w:szCs w:val="20"/>
        </w:rPr>
        <w:t xml:space="preserve"> </w:t>
      </w:r>
      <w:r w:rsidR="00043428" w:rsidRPr="009A7536">
        <w:rPr>
          <w:rFonts w:ascii="Arial" w:hAnsi="Arial"/>
          <w:sz w:val="20"/>
          <w:szCs w:val="20"/>
        </w:rPr>
        <w:t xml:space="preserve">grâce à des mécanismes spécifiques qui combinent différents instruments incitatifs, selon la nature des projets et le niveau des risques qui leur sont associés. Elle </w:t>
      </w:r>
      <w:r w:rsidRPr="009A7536">
        <w:rPr>
          <w:rFonts w:ascii="Arial" w:hAnsi="Arial"/>
          <w:sz w:val="20"/>
          <w:szCs w:val="20"/>
        </w:rPr>
        <w:t xml:space="preserve">souligne également </w:t>
      </w:r>
      <w:r w:rsidR="00043428" w:rsidRPr="009A7536">
        <w:rPr>
          <w:rFonts w:ascii="Arial" w:hAnsi="Arial"/>
          <w:sz w:val="20"/>
          <w:szCs w:val="20"/>
        </w:rPr>
        <w:t xml:space="preserve">l’importance du </w:t>
      </w:r>
      <w:r w:rsidRPr="009A7536">
        <w:rPr>
          <w:rFonts w:ascii="Arial" w:hAnsi="Arial"/>
          <w:sz w:val="20"/>
          <w:szCs w:val="20"/>
        </w:rPr>
        <w:t>p</w:t>
      </w:r>
      <w:r w:rsidR="00043428" w:rsidRPr="009A7536">
        <w:rPr>
          <w:rFonts w:ascii="Arial" w:hAnsi="Arial"/>
          <w:sz w:val="20"/>
          <w:szCs w:val="20"/>
        </w:rPr>
        <w:t>artenariat technique et financier</w:t>
      </w:r>
      <w:r w:rsidRPr="009A7536">
        <w:rPr>
          <w:rFonts w:ascii="Arial" w:hAnsi="Arial"/>
          <w:sz w:val="20"/>
          <w:szCs w:val="20"/>
        </w:rPr>
        <w:t xml:space="preserve">, susceptible de </w:t>
      </w:r>
      <w:r w:rsidR="00043428" w:rsidRPr="009A7536">
        <w:rPr>
          <w:rFonts w:ascii="Arial" w:hAnsi="Arial"/>
          <w:sz w:val="20"/>
          <w:szCs w:val="20"/>
        </w:rPr>
        <w:t>répondre aux besoins du développement industriel local (recherche, transfert technologique, renforcement des compétences locales), qui fait partie intégrante des stratégies de promotion des ER.</w:t>
      </w:r>
    </w:p>
    <w:p w:rsidR="009A7536" w:rsidRDefault="009A7536" w:rsidP="00043428">
      <w:pPr>
        <w:autoSpaceDE w:val="0"/>
        <w:autoSpaceDN w:val="0"/>
        <w:adjustRightInd w:val="0"/>
        <w:jc w:val="both"/>
        <w:rPr>
          <w:rFonts w:ascii="Arial" w:hAnsi="Arial"/>
          <w:sz w:val="20"/>
          <w:szCs w:val="20"/>
        </w:rPr>
      </w:pPr>
    </w:p>
    <w:p w:rsidR="00043428" w:rsidRPr="009A7536" w:rsidRDefault="00043428" w:rsidP="00043428">
      <w:pPr>
        <w:autoSpaceDE w:val="0"/>
        <w:autoSpaceDN w:val="0"/>
        <w:adjustRightInd w:val="0"/>
        <w:jc w:val="both"/>
        <w:rPr>
          <w:rFonts w:ascii="Arial" w:hAnsi="Arial"/>
          <w:color w:val="000000"/>
          <w:sz w:val="20"/>
          <w:szCs w:val="20"/>
        </w:rPr>
      </w:pPr>
      <w:r w:rsidRPr="009A7536">
        <w:rPr>
          <w:rFonts w:ascii="Arial" w:hAnsi="Arial"/>
          <w:sz w:val="20"/>
          <w:szCs w:val="20"/>
        </w:rPr>
        <w:t>Afin de partager les résultats de cette nouvelle étude avec les acteurs du secteur énergétique et échanger sur les bonnes pratiques identifiées, le Bureau de la CEA pour l’Afrique du Nord organise une Réunion d’experts à Tunis (Tunisie), du 3 au 5 octobre 2012 (Hôtel</w:t>
      </w:r>
      <w:r w:rsidRPr="009A7536">
        <w:rPr>
          <w:rFonts w:ascii="Arial" w:hAnsi="Arial"/>
          <w:color w:val="000000"/>
          <w:sz w:val="20"/>
          <w:szCs w:val="20"/>
        </w:rPr>
        <w:t xml:space="preserve"> Novotel). </w:t>
      </w:r>
      <w:r w:rsidRPr="009A7536">
        <w:rPr>
          <w:rFonts w:ascii="Arial" w:hAnsi="Arial"/>
          <w:sz w:val="20"/>
          <w:szCs w:val="20"/>
        </w:rPr>
        <w:t>Celle-ci réunira des spécialistes provenant des pays de la région, des représentants d’institutions nationales, d’organisations régionales et internationales, de projets régionaux et d’institutions bancaires et financières diverses. Le secteur privé, le système des Nations Unies et les partenaires au développement seront également représentés.</w:t>
      </w:r>
    </w:p>
    <w:p w:rsidR="00043428" w:rsidRPr="009A7536" w:rsidRDefault="00043428" w:rsidP="00043428">
      <w:pPr>
        <w:jc w:val="both"/>
        <w:rPr>
          <w:rFonts w:ascii="Arial" w:hAnsi="Arial"/>
          <w:sz w:val="20"/>
          <w:szCs w:val="20"/>
        </w:rPr>
      </w:pPr>
      <w:r w:rsidRPr="009A7536">
        <w:rPr>
          <w:rFonts w:ascii="Arial" w:hAnsi="Arial"/>
          <w:sz w:val="20"/>
          <w:szCs w:val="20"/>
        </w:rPr>
        <w:t xml:space="preserve">Les objectifs spécifiques de la réunion sont: </w:t>
      </w:r>
    </w:p>
    <w:p w:rsidR="00043428" w:rsidRPr="009A7536" w:rsidRDefault="00043428" w:rsidP="00043428">
      <w:pPr>
        <w:pStyle w:val="Paragraphedeliste"/>
        <w:numPr>
          <w:ilvl w:val="0"/>
          <w:numId w:val="2"/>
        </w:numPr>
        <w:spacing w:after="0" w:line="240" w:lineRule="auto"/>
        <w:contextualSpacing w:val="0"/>
        <w:jc w:val="both"/>
        <w:rPr>
          <w:rFonts w:ascii="Arial" w:hAnsi="Arial"/>
          <w:sz w:val="20"/>
          <w:szCs w:val="20"/>
        </w:rPr>
      </w:pPr>
      <w:r w:rsidRPr="009A7536">
        <w:rPr>
          <w:rFonts w:ascii="Arial" w:hAnsi="Arial"/>
          <w:bCs/>
          <w:sz w:val="20"/>
          <w:szCs w:val="20"/>
        </w:rPr>
        <w:t xml:space="preserve">Analyser les enjeux </w:t>
      </w:r>
      <w:r w:rsidRPr="009A7536">
        <w:rPr>
          <w:rFonts w:ascii="Arial" w:hAnsi="Arial"/>
          <w:sz w:val="20"/>
          <w:szCs w:val="20"/>
        </w:rPr>
        <w:t xml:space="preserve">du financement des énergies renouvelables dans la région et partager les expériences réussies </w:t>
      </w:r>
      <w:r w:rsidR="00B14927">
        <w:rPr>
          <w:rFonts w:ascii="Arial" w:hAnsi="Arial"/>
          <w:sz w:val="20"/>
          <w:szCs w:val="20"/>
        </w:rPr>
        <w:t xml:space="preserve">dans ce domaine, </w:t>
      </w:r>
      <w:r w:rsidRPr="009A7536">
        <w:rPr>
          <w:rFonts w:ascii="Arial" w:hAnsi="Arial"/>
          <w:sz w:val="20"/>
          <w:szCs w:val="20"/>
        </w:rPr>
        <w:t>à travers une concertation élargie entre les acteurs publics, les opérateurs privés, les institutions financières et les partenaires au développement impliqués dans le secteur;</w:t>
      </w:r>
    </w:p>
    <w:p w:rsidR="00043428" w:rsidRPr="009A7536" w:rsidRDefault="00043428" w:rsidP="00043428">
      <w:pPr>
        <w:pStyle w:val="Paragraphedeliste"/>
        <w:numPr>
          <w:ilvl w:val="0"/>
          <w:numId w:val="2"/>
        </w:numPr>
        <w:spacing w:after="0" w:line="240" w:lineRule="auto"/>
        <w:contextualSpacing w:val="0"/>
        <w:jc w:val="both"/>
        <w:rPr>
          <w:rFonts w:ascii="Arial" w:hAnsi="Arial"/>
          <w:sz w:val="20"/>
          <w:szCs w:val="20"/>
        </w:rPr>
      </w:pPr>
      <w:r w:rsidRPr="009A7536">
        <w:rPr>
          <w:rFonts w:ascii="Arial" w:hAnsi="Arial"/>
          <w:sz w:val="20"/>
          <w:szCs w:val="20"/>
        </w:rPr>
        <w:t xml:space="preserve">Formuler des recommandations concrètes pour l’adoption d’instruments innovants de financement inspirés des bonnes pratiques identifiées dans cette étude, des expériences présentées et des délibérations durant la réunion. </w:t>
      </w:r>
    </w:p>
    <w:p w:rsidR="00043428" w:rsidRPr="009A7536" w:rsidRDefault="00043428" w:rsidP="00043428">
      <w:pPr>
        <w:jc w:val="both"/>
        <w:rPr>
          <w:rFonts w:ascii="Arial" w:hAnsi="Arial"/>
          <w:sz w:val="20"/>
          <w:szCs w:val="20"/>
        </w:rPr>
      </w:pPr>
    </w:p>
    <w:p w:rsidR="00043428" w:rsidRPr="009A7536" w:rsidRDefault="00043428" w:rsidP="00043428">
      <w:pPr>
        <w:jc w:val="both"/>
        <w:rPr>
          <w:rFonts w:ascii="Arial" w:hAnsi="Arial"/>
          <w:sz w:val="20"/>
          <w:szCs w:val="20"/>
        </w:rPr>
      </w:pPr>
      <w:r w:rsidRPr="009A7536">
        <w:rPr>
          <w:rFonts w:ascii="Arial" w:hAnsi="Arial"/>
          <w:sz w:val="20"/>
          <w:szCs w:val="20"/>
        </w:rPr>
        <w:lastRenderedPageBreak/>
        <w:t xml:space="preserve">Rappelons que dans le cadre de ce même projet sur les  mécanismes innovants de financement des énergies renouvelables en Afrique du Nord, le Bureau de la CEA vient de publier une étude de référence sur la situation des ER dans la région. Cette publication souligne le potentiel régional important en termes d’ER, sa contribution encore marginale au mix énergétique, les contraintes que connait le secteur, mais aussi les avancées cruciales et les bénéfices économiques, sociaux et environnementaux qui en découlent. </w:t>
      </w:r>
      <w:r w:rsidR="000A0FD1" w:rsidRPr="009A7536">
        <w:rPr>
          <w:rFonts w:ascii="Arial" w:hAnsi="Arial"/>
          <w:sz w:val="20"/>
          <w:szCs w:val="20"/>
        </w:rPr>
        <w:t xml:space="preserve">Elle </w:t>
      </w:r>
      <w:proofErr w:type="gramStart"/>
      <w:r w:rsidR="000A0FD1" w:rsidRPr="009A7536">
        <w:rPr>
          <w:rFonts w:ascii="Arial" w:hAnsi="Arial"/>
          <w:sz w:val="20"/>
          <w:szCs w:val="20"/>
        </w:rPr>
        <w:t>appelle</w:t>
      </w:r>
      <w:proofErr w:type="gramEnd"/>
      <w:r w:rsidR="000A0FD1" w:rsidRPr="009A7536">
        <w:rPr>
          <w:rFonts w:ascii="Arial" w:hAnsi="Arial"/>
          <w:sz w:val="20"/>
          <w:szCs w:val="20"/>
        </w:rPr>
        <w:t xml:space="preserve"> </w:t>
      </w:r>
      <w:r w:rsidRPr="009A7536">
        <w:rPr>
          <w:rFonts w:ascii="Arial" w:hAnsi="Arial"/>
          <w:sz w:val="20"/>
          <w:szCs w:val="20"/>
        </w:rPr>
        <w:t xml:space="preserve">les pays </w:t>
      </w:r>
      <w:r w:rsidR="000A0FD1" w:rsidRPr="009A7536">
        <w:rPr>
          <w:rFonts w:ascii="Arial" w:hAnsi="Arial"/>
          <w:sz w:val="20"/>
          <w:szCs w:val="20"/>
        </w:rPr>
        <w:t xml:space="preserve">à </w:t>
      </w:r>
      <w:r w:rsidRPr="009A7536">
        <w:rPr>
          <w:rFonts w:ascii="Arial" w:hAnsi="Arial"/>
          <w:sz w:val="20"/>
          <w:szCs w:val="20"/>
        </w:rPr>
        <w:t>poursuivre les réformes déjà engagées pour créer les conditions nécessaires à l’implication du secteur privé et bancaire, ainsi qu’à la mise en place d’un marché régional.</w:t>
      </w:r>
    </w:p>
    <w:p w:rsidR="00043428" w:rsidRPr="009A7536" w:rsidRDefault="00043428" w:rsidP="00043428">
      <w:pPr>
        <w:jc w:val="both"/>
        <w:rPr>
          <w:rFonts w:ascii="Arial" w:hAnsi="Arial"/>
          <w:sz w:val="20"/>
          <w:szCs w:val="20"/>
        </w:rPr>
      </w:pPr>
      <w:r w:rsidRPr="009A7536">
        <w:rPr>
          <w:rFonts w:ascii="Arial" w:hAnsi="Arial"/>
          <w:sz w:val="20"/>
          <w:szCs w:val="20"/>
        </w:rPr>
        <w:t>C’est dans cette optique qu’intervient l’action du Bureau de la CEA pour l’Afrique  du Nord, qui, comme l’a déclaré sa directrice Mme Karima Bounemra</w:t>
      </w:r>
      <w:r w:rsidR="000A0FD1" w:rsidRPr="009A7536">
        <w:rPr>
          <w:rFonts w:ascii="Arial" w:hAnsi="Arial"/>
          <w:sz w:val="20"/>
          <w:szCs w:val="20"/>
        </w:rPr>
        <w:t xml:space="preserve"> Ben Soltane, </w:t>
      </w:r>
      <w:r w:rsidRPr="009A7536">
        <w:rPr>
          <w:rFonts w:ascii="Arial" w:hAnsi="Arial"/>
          <w:sz w:val="20"/>
          <w:szCs w:val="20"/>
        </w:rPr>
        <w:t xml:space="preserve">« œuvre à créer une dynamique régionale de coopération à travers ce secteur porteur de l’énergie renouvelable qui reste à valoriser, dans une perspective de développement régional intégré et durable.  » </w:t>
      </w:r>
    </w:p>
    <w:p w:rsidR="00043428" w:rsidRPr="009A7536" w:rsidRDefault="00043428" w:rsidP="00043428">
      <w:pPr>
        <w:jc w:val="both"/>
        <w:rPr>
          <w:rFonts w:ascii="Arial" w:hAnsi="Arial"/>
          <w:sz w:val="20"/>
          <w:szCs w:val="20"/>
        </w:rPr>
      </w:pPr>
    </w:p>
    <w:p w:rsidR="00043428" w:rsidRPr="009A7536" w:rsidRDefault="00043428" w:rsidP="00043428">
      <w:pPr>
        <w:jc w:val="both"/>
        <w:rPr>
          <w:rFonts w:ascii="Arial" w:hAnsi="Arial"/>
          <w:sz w:val="20"/>
          <w:szCs w:val="20"/>
        </w:rPr>
      </w:pPr>
    </w:p>
    <w:p w:rsidR="00043428" w:rsidRPr="009A7536" w:rsidRDefault="00043428" w:rsidP="00043428">
      <w:pPr>
        <w:jc w:val="both"/>
        <w:rPr>
          <w:rFonts w:ascii="Arial" w:hAnsi="Arial"/>
          <w:sz w:val="20"/>
          <w:szCs w:val="20"/>
        </w:rPr>
      </w:pPr>
    </w:p>
    <w:p w:rsidR="0036757A" w:rsidRPr="004D1507"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olor w:val="000000"/>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043428" w:rsidRPr="00914286" w:rsidRDefault="009A7536" w:rsidP="00914286">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center"/>
        <w:rPr>
          <w:rFonts w:ascii="Helv" w:hAnsi="Helv" w:cs="Helv"/>
          <w:color w:val="000000"/>
          <w:sz w:val="24"/>
          <w:szCs w:val="24"/>
        </w:rPr>
      </w:pPr>
      <w:hyperlink r:id="rId9" w:history="1">
        <w:r w:rsidRPr="00914286">
          <w:rPr>
            <w:rStyle w:val="Lienhypertexte"/>
            <w:rFonts w:ascii="Helv" w:hAnsi="Helv" w:cs="Helv"/>
            <w:sz w:val="24"/>
            <w:szCs w:val="24"/>
          </w:rPr>
          <w:t>http://www.uneca-an.org/francais/seminaires/seminaires.html</w:t>
        </w:r>
      </w:hyperlink>
    </w:p>
    <w:p w:rsidR="009A7536" w:rsidRDefault="009A7536" w:rsidP="00043428">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043428" w:rsidRDefault="00043428" w:rsidP="00043428">
      <w:pPr>
        <w:autoSpaceDE w:val="0"/>
        <w:autoSpaceDN w:val="0"/>
        <w:adjustRightInd w:val="0"/>
        <w:spacing w:after="0" w:line="240" w:lineRule="auto"/>
        <w:jc w:val="both"/>
        <w:rPr>
          <w:rFonts w:ascii="Arial" w:hAnsi="Arial"/>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36757A" w:rsidRDefault="0036757A" w:rsidP="00B62CC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Helv" w:hAnsi="Helv" w:cs="Helv"/>
          <w:color w:val="000000"/>
          <w:sz w:val="20"/>
          <w:szCs w:val="20"/>
        </w:rPr>
      </w:pPr>
    </w:p>
    <w:p w:rsidR="00B62CC2" w:rsidRDefault="00B62CC2" w:rsidP="00F43996">
      <w:pPr>
        <w:spacing w:after="80"/>
        <w:ind w:right="-142"/>
        <w:rPr>
          <w:sz w:val="24"/>
          <w:szCs w:val="24"/>
          <w:u w:val="single"/>
        </w:rPr>
      </w:pPr>
    </w:p>
    <w:sectPr w:rsidR="00B62CC2" w:rsidSect="00064A54">
      <w:footerReference w:type="default" r:id="rId10"/>
      <w:pgSz w:w="11906" w:h="16838"/>
      <w:pgMar w:top="1417" w:right="1274" w:bottom="1417"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57D4" w:rsidRDefault="004A57D4" w:rsidP="00766493">
      <w:pPr>
        <w:spacing w:after="0" w:line="240" w:lineRule="auto"/>
      </w:pPr>
      <w:r>
        <w:separator/>
      </w:r>
    </w:p>
  </w:endnote>
  <w:endnote w:type="continuationSeparator" w:id="0">
    <w:p w:rsidR="004A57D4" w:rsidRDefault="004A57D4" w:rsidP="007664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Helv">
    <w:altName w:val="Helvetica"/>
    <w:panose1 w:val="020B060402020203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493" w:rsidRPr="00766493" w:rsidRDefault="00766493" w:rsidP="003B7B72">
    <w:pPr>
      <w:pStyle w:val="Pieddepage"/>
      <w:pBdr>
        <w:top w:val="single" w:sz="12" w:space="1" w:color="auto"/>
      </w:pBdr>
      <w:jc w:val="center"/>
    </w:pPr>
    <w:r w:rsidRPr="00766493">
      <w:t>Contacts presse : Tél : +212 537 71 78 29 / 71 56 13 - Fax: +212 537 71 27 02</w:t>
    </w:r>
  </w:p>
  <w:p w:rsidR="00766493" w:rsidRPr="002E722F" w:rsidRDefault="00766493" w:rsidP="003B7B72">
    <w:pPr>
      <w:pStyle w:val="Pieddepage"/>
      <w:pBdr>
        <w:top w:val="single" w:sz="12" w:space="1" w:color="auto"/>
      </w:pBdr>
      <w:jc w:val="center"/>
    </w:pPr>
    <w:r w:rsidRPr="002E722F">
      <w:t xml:space="preserve">Email : </w:t>
    </w:r>
    <w:hyperlink r:id="rId1" w:history="1">
      <w:r w:rsidRPr="002E722F">
        <w:rPr>
          <w:rStyle w:val="Lienhypertexte"/>
        </w:rPr>
        <w:t>srdc-na@uneca.org</w:t>
      </w:r>
    </w:hyperlink>
    <w:r w:rsidRPr="002E722F">
      <w:t xml:space="preserve"> – Site web : www.uneca-an.org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57D4" w:rsidRDefault="004A57D4" w:rsidP="00766493">
      <w:pPr>
        <w:spacing w:after="0" w:line="240" w:lineRule="auto"/>
      </w:pPr>
      <w:r>
        <w:separator/>
      </w:r>
    </w:p>
  </w:footnote>
  <w:footnote w:type="continuationSeparator" w:id="0">
    <w:p w:rsidR="004A57D4" w:rsidRDefault="004A57D4" w:rsidP="0076649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D71B09"/>
    <w:multiLevelType w:val="hybridMultilevel"/>
    <w:tmpl w:val="A5B22FF6"/>
    <w:lvl w:ilvl="0" w:tplc="E3E463C2">
      <w:numFmt w:val="bullet"/>
      <w:lvlText w:val="-"/>
      <w:lvlJc w:val="left"/>
      <w:pPr>
        <w:ind w:left="1065" w:hanging="360"/>
      </w:pPr>
      <w:rPr>
        <w:rFonts w:ascii="Times New Roman" w:eastAsia="Calibri" w:hAnsi="Times New Roman" w:cs="Times New Roman" w:hint="default"/>
      </w:rPr>
    </w:lvl>
    <w:lvl w:ilvl="1" w:tplc="0C0C0003" w:tentative="1">
      <w:start w:val="1"/>
      <w:numFmt w:val="bullet"/>
      <w:lvlText w:val="o"/>
      <w:lvlJc w:val="left"/>
      <w:pPr>
        <w:ind w:left="1785" w:hanging="360"/>
      </w:pPr>
      <w:rPr>
        <w:rFonts w:ascii="Courier New" w:hAnsi="Courier New" w:cs="Courier New" w:hint="default"/>
      </w:rPr>
    </w:lvl>
    <w:lvl w:ilvl="2" w:tplc="0C0C0005" w:tentative="1">
      <w:start w:val="1"/>
      <w:numFmt w:val="bullet"/>
      <w:lvlText w:val=""/>
      <w:lvlJc w:val="left"/>
      <w:pPr>
        <w:ind w:left="2505" w:hanging="360"/>
      </w:pPr>
      <w:rPr>
        <w:rFonts w:ascii="Wingdings" w:hAnsi="Wingdings" w:hint="default"/>
      </w:rPr>
    </w:lvl>
    <w:lvl w:ilvl="3" w:tplc="0C0C0001" w:tentative="1">
      <w:start w:val="1"/>
      <w:numFmt w:val="bullet"/>
      <w:lvlText w:val=""/>
      <w:lvlJc w:val="left"/>
      <w:pPr>
        <w:ind w:left="3225" w:hanging="360"/>
      </w:pPr>
      <w:rPr>
        <w:rFonts w:ascii="Symbol" w:hAnsi="Symbol" w:hint="default"/>
      </w:rPr>
    </w:lvl>
    <w:lvl w:ilvl="4" w:tplc="0C0C0003" w:tentative="1">
      <w:start w:val="1"/>
      <w:numFmt w:val="bullet"/>
      <w:lvlText w:val="o"/>
      <w:lvlJc w:val="left"/>
      <w:pPr>
        <w:ind w:left="3945" w:hanging="360"/>
      </w:pPr>
      <w:rPr>
        <w:rFonts w:ascii="Courier New" w:hAnsi="Courier New" w:cs="Courier New" w:hint="default"/>
      </w:rPr>
    </w:lvl>
    <w:lvl w:ilvl="5" w:tplc="0C0C0005" w:tentative="1">
      <w:start w:val="1"/>
      <w:numFmt w:val="bullet"/>
      <w:lvlText w:val=""/>
      <w:lvlJc w:val="left"/>
      <w:pPr>
        <w:ind w:left="4665" w:hanging="360"/>
      </w:pPr>
      <w:rPr>
        <w:rFonts w:ascii="Wingdings" w:hAnsi="Wingdings" w:hint="default"/>
      </w:rPr>
    </w:lvl>
    <w:lvl w:ilvl="6" w:tplc="0C0C0001" w:tentative="1">
      <w:start w:val="1"/>
      <w:numFmt w:val="bullet"/>
      <w:lvlText w:val=""/>
      <w:lvlJc w:val="left"/>
      <w:pPr>
        <w:ind w:left="5385" w:hanging="360"/>
      </w:pPr>
      <w:rPr>
        <w:rFonts w:ascii="Symbol" w:hAnsi="Symbol" w:hint="default"/>
      </w:rPr>
    </w:lvl>
    <w:lvl w:ilvl="7" w:tplc="0C0C0003" w:tentative="1">
      <w:start w:val="1"/>
      <w:numFmt w:val="bullet"/>
      <w:lvlText w:val="o"/>
      <w:lvlJc w:val="left"/>
      <w:pPr>
        <w:ind w:left="6105" w:hanging="360"/>
      </w:pPr>
      <w:rPr>
        <w:rFonts w:ascii="Courier New" w:hAnsi="Courier New" w:cs="Courier New" w:hint="default"/>
      </w:rPr>
    </w:lvl>
    <w:lvl w:ilvl="8" w:tplc="0C0C0005" w:tentative="1">
      <w:start w:val="1"/>
      <w:numFmt w:val="bullet"/>
      <w:lvlText w:val=""/>
      <w:lvlJc w:val="left"/>
      <w:pPr>
        <w:ind w:left="6825" w:hanging="360"/>
      </w:pPr>
      <w:rPr>
        <w:rFonts w:ascii="Wingdings" w:hAnsi="Wingdings" w:hint="default"/>
      </w:rPr>
    </w:lvl>
  </w:abstractNum>
  <w:abstractNum w:abstractNumId="1">
    <w:nsid w:val="76F035C6"/>
    <w:multiLevelType w:val="multilevel"/>
    <w:tmpl w:val="518CF0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footnotePr>
    <w:footnote w:id="-1"/>
    <w:footnote w:id="0"/>
  </w:footnotePr>
  <w:endnotePr>
    <w:endnote w:id="-1"/>
    <w:endnote w:id="0"/>
  </w:endnotePr>
  <w:compat/>
  <w:rsids>
    <w:rsidRoot w:val="00A94D19"/>
    <w:rsid w:val="0000022E"/>
    <w:rsid w:val="00006AAD"/>
    <w:rsid w:val="000073C6"/>
    <w:rsid w:val="00007F64"/>
    <w:rsid w:val="000226D3"/>
    <w:rsid w:val="00024533"/>
    <w:rsid w:val="000258BC"/>
    <w:rsid w:val="0002781E"/>
    <w:rsid w:val="00030B13"/>
    <w:rsid w:val="00031C96"/>
    <w:rsid w:val="0003593D"/>
    <w:rsid w:val="00035F84"/>
    <w:rsid w:val="00043428"/>
    <w:rsid w:val="00047855"/>
    <w:rsid w:val="000505A5"/>
    <w:rsid w:val="0005572B"/>
    <w:rsid w:val="000569B9"/>
    <w:rsid w:val="00056CCB"/>
    <w:rsid w:val="0005713E"/>
    <w:rsid w:val="00064A54"/>
    <w:rsid w:val="000718A0"/>
    <w:rsid w:val="00076750"/>
    <w:rsid w:val="00076EDA"/>
    <w:rsid w:val="00081A8C"/>
    <w:rsid w:val="00082D55"/>
    <w:rsid w:val="00086C10"/>
    <w:rsid w:val="00092F33"/>
    <w:rsid w:val="00096ADD"/>
    <w:rsid w:val="000A093B"/>
    <w:rsid w:val="000A0FD1"/>
    <w:rsid w:val="000A51E2"/>
    <w:rsid w:val="000A7AD2"/>
    <w:rsid w:val="000B102C"/>
    <w:rsid w:val="000B6F8A"/>
    <w:rsid w:val="000C505F"/>
    <w:rsid w:val="000D428C"/>
    <w:rsid w:val="000D52A9"/>
    <w:rsid w:val="000D5868"/>
    <w:rsid w:val="000E1492"/>
    <w:rsid w:val="000E4209"/>
    <w:rsid w:val="000F054E"/>
    <w:rsid w:val="000F05D6"/>
    <w:rsid w:val="000F52D8"/>
    <w:rsid w:val="00110C7A"/>
    <w:rsid w:val="00113D1D"/>
    <w:rsid w:val="001145BD"/>
    <w:rsid w:val="00114885"/>
    <w:rsid w:val="00117464"/>
    <w:rsid w:val="00155230"/>
    <w:rsid w:val="00156043"/>
    <w:rsid w:val="00161F33"/>
    <w:rsid w:val="0016546F"/>
    <w:rsid w:val="001901A1"/>
    <w:rsid w:val="0019304F"/>
    <w:rsid w:val="001933DC"/>
    <w:rsid w:val="00197010"/>
    <w:rsid w:val="001A4358"/>
    <w:rsid w:val="001A4CC8"/>
    <w:rsid w:val="001B422C"/>
    <w:rsid w:val="001B4A73"/>
    <w:rsid w:val="001D1EAC"/>
    <w:rsid w:val="001E06A8"/>
    <w:rsid w:val="001F1F10"/>
    <w:rsid w:val="001F25E1"/>
    <w:rsid w:val="001F44BD"/>
    <w:rsid w:val="001F4D69"/>
    <w:rsid w:val="002002F9"/>
    <w:rsid w:val="002026C5"/>
    <w:rsid w:val="00207384"/>
    <w:rsid w:val="00210DB3"/>
    <w:rsid w:val="00214924"/>
    <w:rsid w:val="00221224"/>
    <w:rsid w:val="002218FF"/>
    <w:rsid w:val="002238CC"/>
    <w:rsid w:val="00224460"/>
    <w:rsid w:val="00230B6C"/>
    <w:rsid w:val="00232D08"/>
    <w:rsid w:val="00236786"/>
    <w:rsid w:val="002436E7"/>
    <w:rsid w:val="00246A0E"/>
    <w:rsid w:val="00250403"/>
    <w:rsid w:val="00253A89"/>
    <w:rsid w:val="00254545"/>
    <w:rsid w:val="00264833"/>
    <w:rsid w:val="002666D6"/>
    <w:rsid w:val="002743EB"/>
    <w:rsid w:val="002812A0"/>
    <w:rsid w:val="00281FF6"/>
    <w:rsid w:val="00285BF6"/>
    <w:rsid w:val="00287EA2"/>
    <w:rsid w:val="00297371"/>
    <w:rsid w:val="00297910"/>
    <w:rsid w:val="002A124F"/>
    <w:rsid w:val="002A5539"/>
    <w:rsid w:val="002A7755"/>
    <w:rsid w:val="002B072A"/>
    <w:rsid w:val="002B1F47"/>
    <w:rsid w:val="002B3A46"/>
    <w:rsid w:val="002B7431"/>
    <w:rsid w:val="002C21D4"/>
    <w:rsid w:val="002C4F89"/>
    <w:rsid w:val="002C731F"/>
    <w:rsid w:val="002D0940"/>
    <w:rsid w:val="002D3877"/>
    <w:rsid w:val="002E06C9"/>
    <w:rsid w:val="002E124C"/>
    <w:rsid w:val="002E3D6C"/>
    <w:rsid w:val="002E5292"/>
    <w:rsid w:val="002E722F"/>
    <w:rsid w:val="002F43C0"/>
    <w:rsid w:val="0030745F"/>
    <w:rsid w:val="00327752"/>
    <w:rsid w:val="00340CB3"/>
    <w:rsid w:val="00342626"/>
    <w:rsid w:val="003467A8"/>
    <w:rsid w:val="0035261B"/>
    <w:rsid w:val="00353098"/>
    <w:rsid w:val="00354E26"/>
    <w:rsid w:val="00354FCA"/>
    <w:rsid w:val="0036757A"/>
    <w:rsid w:val="0037022A"/>
    <w:rsid w:val="00372286"/>
    <w:rsid w:val="00382477"/>
    <w:rsid w:val="00384232"/>
    <w:rsid w:val="003904A0"/>
    <w:rsid w:val="00396E8D"/>
    <w:rsid w:val="003A05C1"/>
    <w:rsid w:val="003A54E4"/>
    <w:rsid w:val="003B18FD"/>
    <w:rsid w:val="003B6B1D"/>
    <w:rsid w:val="003B7B72"/>
    <w:rsid w:val="003C774A"/>
    <w:rsid w:val="003D34E3"/>
    <w:rsid w:val="003D37A3"/>
    <w:rsid w:val="003E0A50"/>
    <w:rsid w:val="003E615F"/>
    <w:rsid w:val="003F271E"/>
    <w:rsid w:val="003F5D2E"/>
    <w:rsid w:val="004148E3"/>
    <w:rsid w:val="004153D1"/>
    <w:rsid w:val="00422A80"/>
    <w:rsid w:val="00422D22"/>
    <w:rsid w:val="00424F58"/>
    <w:rsid w:val="00426EC5"/>
    <w:rsid w:val="00427CE0"/>
    <w:rsid w:val="00430564"/>
    <w:rsid w:val="0043284A"/>
    <w:rsid w:val="004331AB"/>
    <w:rsid w:val="004348B3"/>
    <w:rsid w:val="00441C67"/>
    <w:rsid w:val="00442648"/>
    <w:rsid w:val="00443678"/>
    <w:rsid w:val="004511F3"/>
    <w:rsid w:val="004556E7"/>
    <w:rsid w:val="004618B3"/>
    <w:rsid w:val="00471C03"/>
    <w:rsid w:val="00485B2B"/>
    <w:rsid w:val="00486457"/>
    <w:rsid w:val="00487B59"/>
    <w:rsid w:val="0049065D"/>
    <w:rsid w:val="00496F37"/>
    <w:rsid w:val="004A020E"/>
    <w:rsid w:val="004A1824"/>
    <w:rsid w:val="004A34A3"/>
    <w:rsid w:val="004A36A1"/>
    <w:rsid w:val="004A57D4"/>
    <w:rsid w:val="004B6804"/>
    <w:rsid w:val="004B6871"/>
    <w:rsid w:val="004D0709"/>
    <w:rsid w:val="004D1507"/>
    <w:rsid w:val="004D364B"/>
    <w:rsid w:val="004D5D45"/>
    <w:rsid w:val="004D698A"/>
    <w:rsid w:val="004D798D"/>
    <w:rsid w:val="004E3145"/>
    <w:rsid w:val="004F0193"/>
    <w:rsid w:val="004F52CE"/>
    <w:rsid w:val="005114E9"/>
    <w:rsid w:val="005160CB"/>
    <w:rsid w:val="00522C3D"/>
    <w:rsid w:val="00532006"/>
    <w:rsid w:val="00535C00"/>
    <w:rsid w:val="00545579"/>
    <w:rsid w:val="00565189"/>
    <w:rsid w:val="005676D8"/>
    <w:rsid w:val="00592156"/>
    <w:rsid w:val="00592DB3"/>
    <w:rsid w:val="00594488"/>
    <w:rsid w:val="005971F2"/>
    <w:rsid w:val="005A04DC"/>
    <w:rsid w:val="005A36AD"/>
    <w:rsid w:val="005A6C05"/>
    <w:rsid w:val="005B114A"/>
    <w:rsid w:val="005B76D5"/>
    <w:rsid w:val="005C239B"/>
    <w:rsid w:val="005C376B"/>
    <w:rsid w:val="005C6DBD"/>
    <w:rsid w:val="005C70B4"/>
    <w:rsid w:val="005D25D6"/>
    <w:rsid w:val="005D69F0"/>
    <w:rsid w:val="005D774F"/>
    <w:rsid w:val="005E2B83"/>
    <w:rsid w:val="005E6268"/>
    <w:rsid w:val="005F032F"/>
    <w:rsid w:val="005F3AB9"/>
    <w:rsid w:val="005F4AA8"/>
    <w:rsid w:val="005F6129"/>
    <w:rsid w:val="005F756A"/>
    <w:rsid w:val="006064E8"/>
    <w:rsid w:val="00607D1B"/>
    <w:rsid w:val="00620A6E"/>
    <w:rsid w:val="00620E72"/>
    <w:rsid w:val="006216F8"/>
    <w:rsid w:val="006258F6"/>
    <w:rsid w:val="00634AF1"/>
    <w:rsid w:val="00637138"/>
    <w:rsid w:val="00653161"/>
    <w:rsid w:val="006535FE"/>
    <w:rsid w:val="00655E78"/>
    <w:rsid w:val="00656643"/>
    <w:rsid w:val="006608A1"/>
    <w:rsid w:val="00670804"/>
    <w:rsid w:val="00676DCB"/>
    <w:rsid w:val="00676F66"/>
    <w:rsid w:val="00681AF1"/>
    <w:rsid w:val="00687F6D"/>
    <w:rsid w:val="006B0DC6"/>
    <w:rsid w:val="006B420D"/>
    <w:rsid w:val="006B7642"/>
    <w:rsid w:val="006B7ECA"/>
    <w:rsid w:val="006D10DE"/>
    <w:rsid w:val="006D3139"/>
    <w:rsid w:val="006D5304"/>
    <w:rsid w:val="006F1091"/>
    <w:rsid w:val="006F3749"/>
    <w:rsid w:val="006F61E0"/>
    <w:rsid w:val="007011A0"/>
    <w:rsid w:val="0071058D"/>
    <w:rsid w:val="00711AE1"/>
    <w:rsid w:val="00720B85"/>
    <w:rsid w:val="00733C8D"/>
    <w:rsid w:val="007379D2"/>
    <w:rsid w:val="00740F6C"/>
    <w:rsid w:val="0074304C"/>
    <w:rsid w:val="00743594"/>
    <w:rsid w:val="0074672B"/>
    <w:rsid w:val="007546BD"/>
    <w:rsid w:val="00756542"/>
    <w:rsid w:val="007577D5"/>
    <w:rsid w:val="007627DA"/>
    <w:rsid w:val="00764FFA"/>
    <w:rsid w:val="00766493"/>
    <w:rsid w:val="00772857"/>
    <w:rsid w:val="00777959"/>
    <w:rsid w:val="007816A4"/>
    <w:rsid w:val="0078347E"/>
    <w:rsid w:val="007853E2"/>
    <w:rsid w:val="00785B2A"/>
    <w:rsid w:val="007A2A3C"/>
    <w:rsid w:val="007B6EDC"/>
    <w:rsid w:val="007C53B4"/>
    <w:rsid w:val="007C5984"/>
    <w:rsid w:val="007C5AA1"/>
    <w:rsid w:val="007C7EE2"/>
    <w:rsid w:val="007D35CE"/>
    <w:rsid w:val="007E3834"/>
    <w:rsid w:val="007E7791"/>
    <w:rsid w:val="007F0780"/>
    <w:rsid w:val="007F0D61"/>
    <w:rsid w:val="007F1C40"/>
    <w:rsid w:val="007F417C"/>
    <w:rsid w:val="00801B67"/>
    <w:rsid w:val="00802C28"/>
    <w:rsid w:val="0080666E"/>
    <w:rsid w:val="00807BB3"/>
    <w:rsid w:val="00810C8C"/>
    <w:rsid w:val="00811296"/>
    <w:rsid w:val="00812CDC"/>
    <w:rsid w:val="008132E1"/>
    <w:rsid w:val="00813665"/>
    <w:rsid w:val="0081376D"/>
    <w:rsid w:val="008218CE"/>
    <w:rsid w:val="0082494D"/>
    <w:rsid w:val="008335F4"/>
    <w:rsid w:val="008340AC"/>
    <w:rsid w:val="00834A70"/>
    <w:rsid w:val="008359E7"/>
    <w:rsid w:val="00840A12"/>
    <w:rsid w:val="00846DE1"/>
    <w:rsid w:val="00853879"/>
    <w:rsid w:val="00854DB0"/>
    <w:rsid w:val="00856269"/>
    <w:rsid w:val="0085782F"/>
    <w:rsid w:val="00884B26"/>
    <w:rsid w:val="00884F82"/>
    <w:rsid w:val="00894ECF"/>
    <w:rsid w:val="008A2401"/>
    <w:rsid w:val="008A31BA"/>
    <w:rsid w:val="008A6632"/>
    <w:rsid w:val="008B44AE"/>
    <w:rsid w:val="008B4BF9"/>
    <w:rsid w:val="008B4C50"/>
    <w:rsid w:val="008C2D8F"/>
    <w:rsid w:val="008C30D4"/>
    <w:rsid w:val="008C316F"/>
    <w:rsid w:val="008C5A24"/>
    <w:rsid w:val="008D5A46"/>
    <w:rsid w:val="008E7AAC"/>
    <w:rsid w:val="008F2AC4"/>
    <w:rsid w:val="008F66C4"/>
    <w:rsid w:val="008F6906"/>
    <w:rsid w:val="00900C10"/>
    <w:rsid w:val="0090789E"/>
    <w:rsid w:val="00907F17"/>
    <w:rsid w:val="00910BD0"/>
    <w:rsid w:val="00911B99"/>
    <w:rsid w:val="00914286"/>
    <w:rsid w:val="00932DB1"/>
    <w:rsid w:val="0095078A"/>
    <w:rsid w:val="00957BFB"/>
    <w:rsid w:val="009608BF"/>
    <w:rsid w:val="0096686F"/>
    <w:rsid w:val="00974F25"/>
    <w:rsid w:val="00983FB7"/>
    <w:rsid w:val="0098425D"/>
    <w:rsid w:val="009859AA"/>
    <w:rsid w:val="00987CA6"/>
    <w:rsid w:val="00996F4F"/>
    <w:rsid w:val="009A2A51"/>
    <w:rsid w:val="009A38DB"/>
    <w:rsid w:val="009A5156"/>
    <w:rsid w:val="009A7536"/>
    <w:rsid w:val="009C0318"/>
    <w:rsid w:val="009C407F"/>
    <w:rsid w:val="009C4421"/>
    <w:rsid w:val="009C5CF1"/>
    <w:rsid w:val="009C6828"/>
    <w:rsid w:val="009E3DAB"/>
    <w:rsid w:val="00A0402A"/>
    <w:rsid w:val="00A13098"/>
    <w:rsid w:val="00A367B7"/>
    <w:rsid w:val="00A41E1C"/>
    <w:rsid w:val="00A505EA"/>
    <w:rsid w:val="00A50A07"/>
    <w:rsid w:val="00A53591"/>
    <w:rsid w:val="00A62785"/>
    <w:rsid w:val="00A73C31"/>
    <w:rsid w:val="00A80C1A"/>
    <w:rsid w:val="00A93145"/>
    <w:rsid w:val="00A94D19"/>
    <w:rsid w:val="00AA3416"/>
    <w:rsid w:val="00AA46A0"/>
    <w:rsid w:val="00AA796F"/>
    <w:rsid w:val="00AA7D68"/>
    <w:rsid w:val="00AB0B5D"/>
    <w:rsid w:val="00AB475C"/>
    <w:rsid w:val="00AC061E"/>
    <w:rsid w:val="00AC28FA"/>
    <w:rsid w:val="00AC4645"/>
    <w:rsid w:val="00AD066B"/>
    <w:rsid w:val="00AD4729"/>
    <w:rsid w:val="00AD52F3"/>
    <w:rsid w:val="00AE13AA"/>
    <w:rsid w:val="00AE2E93"/>
    <w:rsid w:val="00AF1FC2"/>
    <w:rsid w:val="00AF28E4"/>
    <w:rsid w:val="00AF691C"/>
    <w:rsid w:val="00AF71B7"/>
    <w:rsid w:val="00AF739B"/>
    <w:rsid w:val="00B1101B"/>
    <w:rsid w:val="00B12F57"/>
    <w:rsid w:val="00B13F90"/>
    <w:rsid w:val="00B14927"/>
    <w:rsid w:val="00B15F94"/>
    <w:rsid w:val="00B204C8"/>
    <w:rsid w:val="00B22F38"/>
    <w:rsid w:val="00B3251A"/>
    <w:rsid w:val="00B3446F"/>
    <w:rsid w:val="00B413CC"/>
    <w:rsid w:val="00B42F43"/>
    <w:rsid w:val="00B44045"/>
    <w:rsid w:val="00B44CD9"/>
    <w:rsid w:val="00B56E01"/>
    <w:rsid w:val="00B62CC2"/>
    <w:rsid w:val="00B631FD"/>
    <w:rsid w:val="00B700B4"/>
    <w:rsid w:val="00B728F7"/>
    <w:rsid w:val="00B81F99"/>
    <w:rsid w:val="00B84EBB"/>
    <w:rsid w:val="00B90987"/>
    <w:rsid w:val="00B92999"/>
    <w:rsid w:val="00B934D2"/>
    <w:rsid w:val="00BB0969"/>
    <w:rsid w:val="00BC192F"/>
    <w:rsid w:val="00BC5AAD"/>
    <w:rsid w:val="00BE6F8F"/>
    <w:rsid w:val="00BF2595"/>
    <w:rsid w:val="00BF376B"/>
    <w:rsid w:val="00BF5A50"/>
    <w:rsid w:val="00C0028F"/>
    <w:rsid w:val="00C0237A"/>
    <w:rsid w:val="00C024B2"/>
    <w:rsid w:val="00C06F06"/>
    <w:rsid w:val="00C10474"/>
    <w:rsid w:val="00C1786F"/>
    <w:rsid w:val="00C20236"/>
    <w:rsid w:val="00C2322A"/>
    <w:rsid w:val="00C25778"/>
    <w:rsid w:val="00C46637"/>
    <w:rsid w:val="00C56032"/>
    <w:rsid w:val="00C62004"/>
    <w:rsid w:val="00C644CF"/>
    <w:rsid w:val="00C6627A"/>
    <w:rsid w:val="00C662F3"/>
    <w:rsid w:val="00C82B2E"/>
    <w:rsid w:val="00C848BC"/>
    <w:rsid w:val="00C9735A"/>
    <w:rsid w:val="00CA2F71"/>
    <w:rsid w:val="00CA7FB1"/>
    <w:rsid w:val="00CB4778"/>
    <w:rsid w:val="00CB668F"/>
    <w:rsid w:val="00CB6739"/>
    <w:rsid w:val="00CF227B"/>
    <w:rsid w:val="00CF3E71"/>
    <w:rsid w:val="00D00644"/>
    <w:rsid w:val="00D04EE0"/>
    <w:rsid w:val="00D06045"/>
    <w:rsid w:val="00D21556"/>
    <w:rsid w:val="00D25A94"/>
    <w:rsid w:val="00D26B96"/>
    <w:rsid w:val="00D30EE6"/>
    <w:rsid w:val="00D51F02"/>
    <w:rsid w:val="00D53A05"/>
    <w:rsid w:val="00D54A1D"/>
    <w:rsid w:val="00D5582E"/>
    <w:rsid w:val="00D56CC0"/>
    <w:rsid w:val="00D6020A"/>
    <w:rsid w:val="00D62D36"/>
    <w:rsid w:val="00D640D9"/>
    <w:rsid w:val="00D710FC"/>
    <w:rsid w:val="00D81CE8"/>
    <w:rsid w:val="00D85F26"/>
    <w:rsid w:val="00D9115F"/>
    <w:rsid w:val="00D958A0"/>
    <w:rsid w:val="00D96147"/>
    <w:rsid w:val="00DA42DC"/>
    <w:rsid w:val="00DA4ED2"/>
    <w:rsid w:val="00DA7DA7"/>
    <w:rsid w:val="00DB2858"/>
    <w:rsid w:val="00DC65F1"/>
    <w:rsid w:val="00DD1D62"/>
    <w:rsid w:val="00DE6A49"/>
    <w:rsid w:val="00DF18EE"/>
    <w:rsid w:val="00DF544B"/>
    <w:rsid w:val="00E0419C"/>
    <w:rsid w:val="00E24FFF"/>
    <w:rsid w:val="00E270A4"/>
    <w:rsid w:val="00E35008"/>
    <w:rsid w:val="00E37A8C"/>
    <w:rsid w:val="00E37BDE"/>
    <w:rsid w:val="00E54FA1"/>
    <w:rsid w:val="00E57AE3"/>
    <w:rsid w:val="00E662B5"/>
    <w:rsid w:val="00E80B68"/>
    <w:rsid w:val="00E83DCF"/>
    <w:rsid w:val="00E97757"/>
    <w:rsid w:val="00EA1834"/>
    <w:rsid w:val="00EB2FFB"/>
    <w:rsid w:val="00EB3BCF"/>
    <w:rsid w:val="00EB5B9F"/>
    <w:rsid w:val="00EB7B62"/>
    <w:rsid w:val="00EC2A4A"/>
    <w:rsid w:val="00ED424A"/>
    <w:rsid w:val="00ED7480"/>
    <w:rsid w:val="00EE3CFF"/>
    <w:rsid w:val="00EE4296"/>
    <w:rsid w:val="00EE47F1"/>
    <w:rsid w:val="00EE58C5"/>
    <w:rsid w:val="00EF0AAC"/>
    <w:rsid w:val="00EF1F07"/>
    <w:rsid w:val="00F11CE4"/>
    <w:rsid w:val="00F14630"/>
    <w:rsid w:val="00F152AA"/>
    <w:rsid w:val="00F1603E"/>
    <w:rsid w:val="00F17738"/>
    <w:rsid w:val="00F20165"/>
    <w:rsid w:val="00F2653E"/>
    <w:rsid w:val="00F27250"/>
    <w:rsid w:val="00F34DE7"/>
    <w:rsid w:val="00F42A14"/>
    <w:rsid w:val="00F43996"/>
    <w:rsid w:val="00F447E6"/>
    <w:rsid w:val="00F5148B"/>
    <w:rsid w:val="00F556BA"/>
    <w:rsid w:val="00F63C99"/>
    <w:rsid w:val="00F77113"/>
    <w:rsid w:val="00F81237"/>
    <w:rsid w:val="00F822D5"/>
    <w:rsid w:val="00F83CE6"/>
    <w:rsid w:val="00F86BCC"/>
    <w:rsid w:val="00F921C0"/>
    <w:rsid w:val="00F95B33"/>
    <w:rsid w:val="00F96784"/>
    <w:rsid w:val="00F96B4B"/>
    <w:rsid w:val="00FA0CA5"/>
    <w:rsid w:val="00FA125C"/>
    <w:rsid w:val="00FA2FB2"/>
    <w:rsid w:val="00FA43E3"/>
    <w:rsid w:val="00FA6FE6"/>
    <w:rsid w:val="00FB0C22"/>
    <w:rsid w:val="00FB7AF2"/>
    <w:rsid w:val="00FC042A"/>
    <w:rsid w:val="00FE09EE"/>
    <w:rsid w:val="00FE447B"/>
    <w:rsid w:val="00FE5FFA"/>
    <w:rsid w:val="00FF4D1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32F"/>
    <w:pPr>
      <w:spacing w:after="200" w:line="276" w:lineRule="auto"/>
    </w:pPr>
    <w:rPr>
      <w:sz w:val="22"/>
      <w:szCs w:val="22"/>
      <w:lang w:val="fr-FR"/>
    </w:rPr>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76649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66493"/>
  </w:style>
  <w:style w:type="paragraph" w:styleId="Pieddepage">
    <w:name w:val="footer"/>
    <w:basedOn w:val="Normal"/>
    <w:link w:val="PieddepageCar"/>
    <w:uiPriority w:val="99"/>
    <w:unhideWhenUsed/>
    <w:rsid w:val="0076649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66493"/>
  </w:style>
  <w:style w:type="character" w:styleId="Lienhypertexte">
    <w:name w:val="Hyperlink"/>
    <w:basedOn w:val="Policepardfaut"/>
    <w:uiPriority w:val="99"/>
    <w:rsid w:val="00766493"/>
    <w:rPr>
      <w:color w:val="0000FF"/>
      <w:u w:val="single"/>
    </w:rPr>
  </w:style>
  <w:style w:type="paragraph" w:styleId="NormalWeb">
    <w:name w:val="Normal (Web)"/>
    <w:basedOn w:val="Normal"/>
    <w:uiPriority w:val="99"/>
    <w:rsid w:val="0016546F"/>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Paragraphedeliste">
    <w:name w:val="List Paragraph"/>
    <w:basedOn w:val="Normal"/>
    <w:uiPriority w:val="34"/>
    <w:qFormat/>
    <w:rsid w:val="004D698A"/>
    <w:pPr>
      <w:ind w:left="720"/>
      <w:contextualSpacing/>
    </w:pPr>
  </w:style>
  <w:style w:type="paragraph" w:styleId="Corpsdetexte">
    <w:name w:val="Body Text"/>
    <w:basedOn w:val="Normal"/>
    <w:link w:val="CorpsdetexteCar"/>
    <w:rsid w:val="00043428"/>
    <w:pPr>
      <w:spacing w:after="12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rsid w:val="0004342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881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neca-an.org/francais/seminaires/seminaires.htm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srdc-na@uneca.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4C0173-48DC-4E35-ADEB-4592BC608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654</Words>
  <Characters>3730</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4376</CharactersWithSpaces>
  <SharedDoc>false</SharedDoc>
  <HLinks>
    <vt:vector size="12" baseType="variant">
      <vt:variant>
        <vt:i4>8126590</vt:i4>
      </vt:variant>
      <vt:variant>
        <vt:i4>0</vt:i4>
      </vt:variant>
      <vt:variant>
        <vt:i4>0</vt:i4>
      </vt:variant>
      <vt:variant>
        <vt:i4>5</vt:i4>
      </vt:variant>
      <vt:variant>
        <vt:lpwstr>http://www.uneca-an.org/francais/seminaires/seminaires.html</vt:lpwstr>
      </vt:variant>
      <vt:variant>
        <vt:lpwstr/>
      </vt:variant>
      <vt:variant>
        <vt:i4>4194340</vt:i4>
      </vt:variant>
      <vt:variant>
        <vt:i4>0</vt:i4>
      </vt:variant>
      <vt:variant>
        <vt:i4>0</vt:i4>
      </vt:variant>
      <vt:variant>
        <vt:i4>5</vt:i4>
      </vt:variant>
      <vt:variant>
        <vt:lpwstr>mailto:srdc-na@uneca.org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srona7</dc:creator>
  <cp:keywords/>
  <cp:lastModifiedBy> </cp:lastModifiedBy>
  <cp:revision>3</cp:revision>
  <cp:lastPrinted>2012-09-29T14:22:00Z</cp:lastPrinted>
  <dcterms:created xsi:type="dcterms:W3CDTF">2012-09-29T14:22:00Z</dcterms:created>
  <dcterms:modified xsi:type="dcterms:W3CDTF">2012-09-29T14:23:00Z</dcterms:modified>
</cp:coreProperties>
</file>