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F5B5B" w:rsidRDefault="004F5B5B">
      <w:pPr>
        <w:spacing w:line="276" w:lineRule="auto"/>
      </w:pPr>
    </w:p>
    <w:tbl>
      <w:tblPr>
        <w:tblStyle w:val="a"/>
        <w:tblW w:w="9072" w:type="dxa"/>
        <w:tblInd w:w="-115" w:type="dxa"/>
        <w:tblLayout w:type="fixed"/>
        <w:tblLook w:val="0400"/>
      </w:tblPr>
      <w:tblGrid>
        <w:gridCol w:w="5706"/>
        <w:gridCol w:w="3366"/>
      </w:tblGrid>
      <w:tr w:rsidR="004F5B5B" w:rsidRPr="00A57625">
        <w:trPr>
          <w:trHeight w:val="2160"/>
        </w:trPr>
        <w:tc>
          <w:tcPr>
            <w:tcW w:w="5706" w:type="dxa"/>
            <w:shd w:val="clear" w:color="auto" w:fill="FFFFFF"/>
          </w:tcPr>
          <w:p w:rsidR="004F5B5B" w:rsidRDefault="004F5B5B">
            <w:pPr>
              <w:spacing w:after="120"/>
              <w:jc w:val="both"/>
            </w:pPr>
            <w:bookmarkStart w:id="0" w:name="_gjdgxs" w:colFirst="0" w:colLast="0"/>
            <w:bookmarkEnd w:id="0"/>
          </w:p>
          <w:p w:rsidR="004F5B5B" w:rsidRDefault="00F5380C">
            <w:pPr>
              <w:spacing w:after="120"/>
              <w:jc w:val="both"/>
            </w:pPr>
            <w:r>
              <w:rPr>
                <w:noProof/>
                <w:lang w:val="fr-FR" w:eastAsia="fr-FR"/>
              </w:rPr>
              <w:drawing>
                <wp:inline distT="0" distB="0" distL="0" distR="0">
                  <wp:extent cx="3519159" cy="356672"/>
                  <wp:effectExtent l="0" t="0" r="0" b="0"/>
                  <wp:docPr id="1"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7" cstate="print"/>
                          <a:srcRect/>
                          <a:stretch>
                            <a:fillRect/>
                          </a:stretch>
                        </pic:blipFill>
                        <pic:spPr>
                          <a:xfrm>
                            <a:off x="0" y="0"/>
                            <a:ext cx="3519159" cy="356672"/>
                          </a:xfrm>
                          <a:prstGeom prst="rect">
                            <a:avLst/>
                          </a:prstGeom>
                          <a:ln/>
                        </pic:spPr>
                      </pic:pic>
                    </a:graphicData>
                  </a:graphic>
                </wp:inline>
              </w:drawing>
            </w:r>
          </w:p>
        </w:tc>
        <w:tc>
          <w:tcPr>
            <w:tcW w:w="3366" w:type="dxa"/>
            <w:shd w:val="clear" w:color="auto" w:fill="FFFFFF"/>
          </w:tcPr>
          <w:p w:rsidR="004F5B5B" w:rsidRDefault="00F5380C">
            <w:pPr>
              <w:spacing w:after="120"/>
              <w:jc w:val="center"/>
            </w:pPr>
            <w:r>
              <w:rPr>
                <w:noProof/>
                <w:lang w:val="fr-FR" w:eastAsia="fr-FR"/>
              </w:rPr>
              <w:drawing>
                <wp:inline distT="0" distB="0" distL="0" distR="0">
                  <wp:extent cx="885877" cy="885877"/>
                  <wp:effectExtent l="0" t="0" r="0" b="0"/>
                  <wp:docPr id="2" name="image03.jpg"/>
                  <wp:cNvGraphicFramePr/>
                  <a:graphic xmlns:a="http://schemas.openxmlformats.org/drawingml/2006/main">
                    <a:graphicData uri="http://schemas.openxmlformats.org/drawingml/2006/picture">
                      <pic:pic xmlns:pic="http://schemas.openxmlformats.org/drawingml/2006/picture">
                        <pic:nvPicPr>
                          <pic:cNvPr id="0" name="image03.jpg"/>
                          <pic:cNvPicPr preferRelativeResize="0"/>
                        </pic:nvPicPr>
                        <pic:blipFill>
                          <a:blip r:embed="rId8" cstate="print"/>
                          <a:srcRect/>
                          <a:stretch>
                            <a:fillRect/>
                          </a:stretch>
                        </pic:blipFill>
                        <pic:spPr>
                          <a:xfrm>
                            <a:off x="0" y="0"/>
                            <a:ext cx="885877" cy="885877"/>
                          </a:xfrm>
                          <a:prstGeom prst="rect">
                            <a:avLst/>
                          </a:prstGeom>
                          <a:ln/>
                        </pic:spPr>
                      </pic:pic>
                    </a:graphicData>
                  </a:graphic>
                </wp:inline>
              </w:drawing>
            </w:r>
          </w:p>
          <w:p w:rsidR="004F5B5B" w:rsidRPr="00A57625" w:rsidRDefault="00F5380C">
            <w:pPr>
              <w:ind w:left="142" w:right="36"/>
              <w:jc w:val="center"/>
              <w:rPr>
                <w:lang w:val="fr-FR"/>
              </w:rPr>
            </w:pPr>
            <w:r w:rsidRPr="00A57625">
              <w:rPr>
                <w:rFonts w:ascii="Lato" w:eastAsia="Lato" w:hAnsi="Lato" w:cs="Lato"/>
                <w:b/>
                <w:color w:val="336699"/>
                <w:sz w:val="22"/>
                <w:szCs w:val="22"/>
                <w:lang w:val="fr-FR"/>
              </w:rPr>
              <w:t>Union du Maghreb Arabe</w:t>
            </w:r>
          </w:p>
          <w:p w:rsidR="004F5B5B" w:rsidRPr="00A57625" w:rsidRDefault="00F5380C">
            <w:pPr>
              <w:jc w:val="center"/>
              <w:rPr>
                <w:lang w:val="fr-FR"/>
              </w:rPr>
            </w:pPr>
            <w:r w:rsidRPr="00A57625">
              <w:rPr>
                <w:rFonts w:ascii="Lato" w:eastAsia="Lato" w:hAnsi="Lato" w:cs="Lato"/>
                <w:b/>
                <w:color w:val="336699"/>
                <w:sz w:val="22"/>
                <w:szCs w:val="22"/>
                <w:lang w:val="fr-FR"/>
              </w:rPr>
              <w:t>Secrétariat Général</w:t>
            </w:r>
          </w:p>
        </w:tc>
      </w:tr>
    </w:tbl>
    <w:p w:rsidR="004F5B5B" w:rsidRPr="00A57625" w:rsidRDefault="004F5B5B">
      <w:pPr>
        <w:spacing w:after="120"/>
        <w:jc w:val="center"/>
        <w:rPr>
          <w:lang w:val="fr-FR"/>
        </w:rPr>
      </w:pPr>
    </w:p>
    <w:p w:rsidR="004F5B5B" w:rsidRPr="00A57625" w:rsidRDefault="004F5B5B">
      <w:pPr>
        <w:spacing w:after="120"/>
        <w:jc w:val="center"/>
        <w:rPr>
          <w:lang w:val="fr-FR"/>
        </w:rPr>
      </w:pPr>
    </w:p>
    <w:p w:rsidR="004F5B5B" w:rsidRPr="00A57625" w:rsidRDefault="004F5B5B">
      <w:pPr>
        <w:spacing w:after="120"/>
        <w:jc w:val="center"/>
        <w:rPr>
          <w:lang w:val="fr-FR"/>
        </w:rPr>
      </w:pPr>
    </w:p>
    <w:p w:rsidR="004F5B5B" w:rsidRPr="00A57625" w:rsidRDefault="004F5B5B">
      <w:pPr>
        <w:spacing w:after="120"/>
        <w:jc w:val="center"/>
        <w:rPr>
          <w:lang w:val="fr-FR"/>
        </w:rPr>
      </w:pPr>
    </w:p>
    <w:p w:rsidR="004F5B5B" w:rsidRPr="00A57625" w:rsidRDefault="004F5B5B">
      <w:pPr>
        <w:spacing w:after="120"/>
        <w:jc w:val="center"/>
        <w:rPr>
          <w:lang w:val="fr-FR"/>
        </w:rPr>
      </w:pPr>
    </w:p>
    <w:p w:rsidR="004F5B5B" w:rsidRPr="00A57625" w:rsidRDefault="00F5380C">
      <w:pPr>
        <w:spacing w:after="120"/>
        <w:jc w:val="center"/>
        <w:rPr>
          <w:lang w:val="fr-FR"/>
        </w:rPr>
      </w:pPr>
      <w:r w:rsidRPr="00A57625">
        <w:rPr>
          <w:rFonts w:ascii="Lato" w:eastAsia="Lato" w:hAnsi="Lato" w:cs="Lato"/>
          <w:b/>
          <w:color w:val="EC6325"/>
          <w:sz w:val="28"/>
          <w:szCs w:val="28"/>
          <w:lang w:val="fr-FR"/>
        </w:rPr>
        <w:t>Coopération UMA-CEA</w:t>
      </w:r>
    </w:p>
    <w:p w:rsidR="004F5B5B" w:rsidRPr="00A57625" w:rsidRDefault="00F5380C">
      <w:pPr>
        <w:spacing w:after="120"/>
        <w:jc w:val="center"/>
        <w:rPr>
          <w:lang w:val="fr-FR"/>
        </w:rPr>
      </w:pPr>
      <w:r w:rsidRPr="00A57625">
        <w:rPr>
          <w:rFonts w:ascii="Lato" w:eastAsia="Lato" w:hAnsi="Lato" w:cs="Lato"/>
          <w:b/>
          <w:color w:val="EC6325"/>
          <w:sz w:val="28"/>
          <w:szCs w:val="28"/>
          <w:lang w:val="fr-FR"/>
        </w:rPr>
        <w:t>Réunion de concertation et d’échange</w:t>
      </w:r>
    </w:p>
    <w:p w:rsidR="004F5B5B" w:rsidRPr="00A57625" w:rsidRDefault="00F5380C">
      <w:pPr>
        <w:spacing w:after="120"/>
        <w:jc w:val="center"/>
        <w:rPr>
          <w:lang w:val="fr-FR"/>
        </w:rPr>
      </w:pPr>
      <w:r w:rsidRPr="00A57625">
        <w:rPr>
          <w:rFonts w:ascii="Lato" w:eastAsia="Lato" w:hAnsi="Lato" w:cs="Lato"/>
          <w:b/>
          <w:color w:val="4495D1"/>
          <w:lang w:val="fr-FR"/>
        </w:rPr>
        <w:t>Rabat (Maroc), 06 décembre 2016</w:t>
      </w:r>
    </w:p>
    <w:p w:rsidR="004F5B5B" w:rsidRPr="00A57625" w:rsidRDefault="004F5B5B">
      <w:pPr>
        <w:spacing w:after="120"/>
        <w:jc w:val="center"/>
        <w:rPr>
          <w:lang w:val="fr-FR"/>
        </w:rPr>
      </w:pPr>
    </w:p>
    <w:p w:rsidR="004F5B5B" w:rsidRPr="00A57625" w:rsidRDefault="004F5B5B">
      <w:pPr>
        <w:spacing w:after="120"/>
        <w:ind w:left="504" w:right="146"/>
        <w:jc w:val="center"/>
        <w:rPr>
          <w:lang w:val="fr-FR"/>
        </w:rPr>
      </w:pPr>
    </w:p>
    <w:p w:rsidR="004F5B5B" w:rsidRPr="00A57625" w:rsidRDefault="003E7978">
      <w:pPr>
        <w:spacing w:after="120"/>
        <w:ind w:left="504" w:right="146"/>
        <w:jc w:val="center"/>
        <w:rPr>
          <w:lang w:val="fr-FR"/>
        </w:rPr>
      </w:pPr>
      <w:r w:rsidRPr="00A57625">
        <w:rPr>
          <w:rFonts w:ascii="Lato" w:eastAsia="Lato" w:hAnsi="Lato" w:cs="Lato"/>
          <w:b/>
          <w:sz w:val="28"/>
          <w:szCs w:val="28"/>
          <w:lang w:val="fr-FR"/>
        </w:rPr>
        <w:t>R</w:t>
      </w:r>
      <w:bookmarkStart w:id="1" w:name="_GoBack"/>
      <w:bookmarkEnd w:id="1"/>
      <w:r w:rsidR="00F5380C" w:rsidRPr="00A57625">
        <w:rPr>
          <w:rFonts w:ascii="Lato" w:eastAsia="Lato" w:hAnsi="Lato" w:cs="Lato"/>
          <w:b/>
          <w:sz w:val="28"/>
          <w:szCs w:val="28"/>
          <w:lang w:val="fr-FR"/>
        </w:rPr>
        <w:t>apport de la réunion</w:t>
      </w:r>
    </w:p>
    <w:p w:rsidR="004F5B5B" w:rsidRPr="00A57625" w:rsidRDefault="004F5B5B">
      <w:pPr>
        <w:spacing w:after="120"/>
        <w:rPr>
          <w:lang w:val="fr-FR"/>
        </w:rPr>
      </w:pPr>
    </w:p>
    <w:p w:rsidR="004F5B5B" w:rsidRPr="00A57625" w:rsidRDefault="004F5B5B">
      <w:pPr>
        <w:spacing w:after="120"/>
        <w:rPr>
          <w:lang w:val="fr-FR"/>
        </w:rPr>
      </w:pPr>
    </w:p>
    <w:p w:rsidR="004F5B5B" w:rsidRPr="00A57625" w:rsidRDefault="004F5B5B">
      <w:pPr>
        <w:spacing w:after="120"/>
        <w:rPr>
          <w:lang w:val="fr-FR"/>
        </w:rPr>
      </w:pPr>
    </w:p>
    <w:p w:rsidR="004F5B5B" w:rsidRPr="00A57625" w:rsidRDefault="004F5B5B">
      <w:pPr>
        <w:spacing w:after="120"/>
        <w:jc w:val="right"/>
        <w:rPr>
          <w:lang w:val="fr-FR"/>
        </w:rPr>
      </w:pPr>
    </w:p>
    <w:p w:rsidR="004F5B5B" w:rsidRPr="00A57625" w:rsidRDefault="004F5B5B">
      <w:pPr>
        <w:spacing w:after="120"/>
        <w:jc w:val="center"/>
        <w:rPr>
          <w:lang w:val="fr-FR"/>
        </w:rPr>
      </w:pPr>
    </w:p>
    <w:p w:rsidR="004F5B5B" w:rsidRPr="00A57625" w:rsidRDefault="00F5380C">
      <w:pPr>
        <w:rPr>
          <w:lang w:val="fr-FR"/>
        </w:rPr>
      </w:pPr>
      <w:r w:rsidRPr="00A57625">
        <w:rPr>
          <w:lang w:val="fr-FR"/>
        </w:rPr>
        <w:br w:type="page"/>
      </w:r>
    </w:p>
    <w:p w:rsidR="004F5B5B" w:rsidRPr="00A57625" w:rsidRDefault="004F5B5B">
      <w:pPr>
        <w:spacing w:line="276" w:lineRule="auto"/>
        <w:rPr>
          <w:lang w:val="fr-FR"/>
        </w:rPr>
        <w:sectPr w:rsidR="004F5B5B" w:rsidRPr="00A57625">
          <w:footerReference w:type="default" r:id="rId9"/>
          <w:pgSz w:w="11906" w:h="16838"/>
          <w:pgMar w:top="1417" w:right="1417" w:bottom="1417" w:left="1417" w:header="720" w:footer="720" w:gutter="0"/>
          <w:pgNumType w:start="1"/>
          <w:cols w:space="720"/>
          <w:titlePg/>
        </w:sectPr>
      </w:pPr>
    </w:p>
    <w:p w:rsidR="004F5B5B" w:rsidRDefault="00F5380C">
      <w:pPr>
        <w:numPr>
          <w:ilvl w:val="0"/>
          <w:numId w:val="4"/>
        </w:numPr>
        <w:spacing w:after="120"/>
        <w:ind w:hanging="360"/>
        <w:rPr>
          <w:rFonts w:ascii="Lato" w:eastAsia="Lato" w:hAnsi="Lato" w:cs="Lato"/>
          <w:color w:val="006699"/>
          <w:sz w:val="22"/>
          <w:szCs w:val="22"/>
        </w:rPr>
      </w:pPr>
      <w:r>
        <w:rPr>
          <w:rFonts w:ascii="Lato" w:eastAsia="Lato" w:hAnsi="Lato" w:cs="Lato"/>
          <w:b/>
          <w:color w:val="006699"/>
          <w:sz w:val="22"/>
          <w:szCs w:val="22"/>
        </w:rPr>
        <w:lastRenderedPageBreak/>
        <w:t>Objectif de la réunion</w:t>
      </w:r>
    </w:p>
    <w:p w:rsidR="004F5B5B" w:rsidRPr="00A57625" w:rsidRDefault="00F5380C">
      <w:pPr>
        <w:spacing w:after="120"/>
        <w:jc w:val="both"/>
        <w:rPr>
          <w:lang w:val="fr-FR"/>
        </w:rPr>
      </w:pPr>
      <w:r w:rsidRPr="00A57625">
        <w:rPr>
          <w:rFonts w:ascii="Lato" w:eastAsia="Lato" w:hAnsi="Lato" w:cs="Lato"/>
          <w:sz w:val="22"/>
          <w:szCs w:val="22"/>
          <w:lang w:val="fr-FR"/>
        </w:rPr>
        <w:t xml:space="preserve">Le Bureau pour l’Afrique du Nord de la CEA et le Secrétariat Général de l’UMA ont organisé le 06 décembre 2016 à Rabat (Royaume du Maroc) une réunion de concertation, dans le cadre du partenariat existant entre les deux institutions. </w:t>
      </w:r>
    </w:p>
    <w:p w:rsidR="004F5B5B" w:rsidRPr="00A57625" w:rsidRDefault="00F5380C">
      <w:pPr>
        <w:spacing w:after="120"/>
        <w:jc w:val="both"/>
        <w:rPr>
          <w:lang w:val="fr-FR"/>
        </w:rPr>
      </w:pPr>
      <w:r w:rsidRPr="00A57625">
        <w:rPr>
          <w:rFonts w:ascii="Lato" w:eastAsia="Lato" w:hAnsi="Lato" w:cs="Lato"/>
          <w:sz w:val="22"/>
          <w:szCs w:val="22"/>
          <w:lang w:val="fr-FR"/>
        </w:rPr>
        <w:t xml:space="preserve">L’objectif de la réunion était de dresser un bilan des activités conjointes couvrant la période 2014-2016 et d’examiner les possibilités de collaboration future. Ce bilan devait permettre de confirmer l’opportunité des axes stratégiques proposés au regard des nouveaux développements intervenus aussi bien sur le plan interne au niveau de chacune des Institutions, que sur le plan régional et au niveau des Etats membres. </w:t>
      </w:r>
    </w:p>
    <w:p w:rsidR="004F5B5B" w:rsidRDefault="00F5380C">
      <w:pPr>
        <w:numPr>
          <w:ilvl w:val="0"/>
          <w:numId w:val="4"/>
        </w:numPr>
        <w:spacing w:before="360" w:after="120"/>
        <w:ind w:left="714" w:hanging="357"/>
        <w:rPr>
          <w:rFonts w:ascii="Lato" w:eastAsia="Lato" w:hAnsi="Lato" w:cs="Lato"/>
          <w:color w:val="006699"/>
          <w:sz w:val="22"/>
          <w:szCs w:val="22"/>
        </w:rPr>
      </w:pPr>
      <w:r>
        <w:rPr>
          <w:rFonts w:ascii="Lato" w:eastAsia="Lato" w:hAnsi="Lato" w:cs="Lato"/>
          <w:b/>
          <w:color w:val="006699"/>
          <w:sz w:val="22"/>
          <w:szCs w:val="22"/>
        </w:rPr>
        <w:t>Participation</w:t>
      </w:r>
    </w:p>
    <w:p w:rsidR="004F5B5B" w:rsidRPr="00A57625" w:rsidRDefault="00F5380C">
      <w:pPr>
        <w:spacing w:after="120"/>
        <w:ind w:right="146" w:hanging="36"/>
        <w:jc w:val="both"/>
        <w:rPr>
          <w:lang w:val="fr-FR"/>
        </w:rPr>
      </w:pPr>
      <w:r w:rsidRPr="00A57625">
        <w:rPr>
          <w:rFonts w:ascii="Lato" w:eastAsia="Lato" w:hAnsi="Lato" w:cs="Lato"/>
          <w:sz w:val="22"/>
          <w:szCs w:val="22"/>
          <w:lang w:val="fr-FR"/>
        </w:rPr>
        <w:t xml:space="preserve">La réunion a été co-présidée par M. Omar Ismael Abdourahman, Directeur par intérim du Bureau pour l’Afrique du Nord de la CEA (BSR-AN/CEA) et M. Reda El Merini, Directeur des Affaires Economiques du Secrétariat général du l’Union du Maghreb Arabe. Elle a connu la participation de représentants de département du Secrétariat général de l’UMA et experts du BSR-AN/CEA. La liste des participants est jointe en annexe 2 au présent rapport. </w:t>
      </w:r>
    </w:p>
    <w:p w:rsidR="004F5B5B" w:rsidRDefault="00F5380C">
      <w:pPr>
        <w:numPr>
          <w:ilvl w:val="0"/>
          <w:numId w:val="4"/>
        </w:numPr>
        <w:spacing w:before="360" w:after="120"/>
        <w:ind w:left="714" w:hanging="357"/>
        <w:rPr>
          <w:rFonts w:ascii="Lato" w:eastAsia="Lato" w:hAnsi="Lato" w:cs="Lato"/>
          <w:color w:val="006699"/>
          <w:sz w:val="22"/>
          <w:szCs w:val="22"/>
        </w:rPr>
      </w:pPr>
      <w:r>
        <w:rPr>
          <w:rFonts w:ascii="Lato" w:eastAsia="Lato" w:hAnsi="Lato" w:cs="Lato"/>
          <w:b/>
          <w:color w:val="006699"/>
          <w:sz w:val="22"/>
          <w:szCs w:val="22"/>
        </w:rPr>
        <w:t xml:space="preserve">Déroulement de la réunion </w:t>
      </w:r>
    </w:p>
    <w:p w:rsidR="004F5B5B" w:rsidRPr="00A57625" w:rsidRDefault="00F5380C">
      <w:pPr>
        <w:tabs>
          <w:tab w:val="left" w:pos="567"/>
        </w:tabs>
        <w:spacing w:after="120"/>
        <w:ind w:right="146"/>
        <w:jc w:val="both"/>
        <w:rPr>
          <w:lang w:val="fr-FR"/>
        </w:rPr>
      </w:pPr>
      <w:r w:rsidRPr="00A57625">
        <w:rPr>
          <w:rFonts w:ascii="Lato" w:eastAsia="Lato" w:hAnsi="Lato" w:cs="Lato"/>
          <w:sz w:val="22"/>
          <w:szCs w:val="22"/>
          <w:lang w:val="fr-FR"/>
        </w:rPr>
        <w:t xml:space="preserve">Les travaux se sont déroulés en séances plénières, sur les trois axes ci-après: </w:t>
      </w:r>
    </w:p>
    <w:p w:rsidR="004F5B5B" w:rsidRPr="00A57625" w:rsidRDefault="00F5380C">
      <w:pPr>
        <w:numPr>
          <w:ilvl w:val="0"/>
          <w:numId w:val="3"/>
        </w:numPr>
        <w:spacing w:after="120"/>
        <w:ind w:hanging="360"/>
        <w:jc w:val="both"/>
        <w:rPr>
          <w:sz w:val="22"/>
          <w:szCs w:val="22"/>
          <w:lang w:val="fr-FR"/>
        </w:rPr>
      </w:pPr>
      <w:r w:rsidRPr="00A57625">
        <w:rPr>
          <w:rFonts w:ascii="Lato" w:eastAsia="Lato" w:hAnsi="Lato" w:cs="Lato"/>
          <w:sz w:val="22"/>
          <w:szCs w:val="22"/>
          <w:lang w:val="fr-FR"/>
        </w:rPr>
        <w:t>La séance d’ouverture, marquée par deux allocutions centrées sur une analyse du  contexte sous régional et l’importance du partenariat CEA-UMA;</w:t>
      </w:r>
    </w:p>
    <w:p w:rsidR="004F5B5B" w:rsidRPr="00A57625" w:rsidRDefault="00F5380C">
      <w:pPr>
        <w:numPr>
          <w:ilvl w:val="0"/>
          <w:numId w:val="3"/>
        </w:numPr>
        <w:spacing w:after="120"/>
        <w:ind w:hanging="360"/>
        <w:jc w:val="both"/>
        <w:rPr>
          <w:sz w:val="22"/>
          <w:szCs w:val="22"/>
          <w:lang w:val="fr-FR"/>
        </w:rPr>
      </w:pPr>
      <w:r w:rsidRPr="00A57625">
        <w:rPr>
          <w:rFonts w:ascii="Lato" w:eastAsia="Lato" w:hAnsi="Lato" w:cs="Lato"/>
          <w:sz w:val="22"/>
          <w:szCs w:val="22"/>
          <w:lang w:val="fr-FR"/>
        </w:rPr>
        <w:t>La présentation et discussion du rapport d’activités 2014-2016; et</w:t>
      </w:r>
    </w:p>
    <w:p w:rsidR="004F5B5B" w:rsidRPr="00A57625" w:rsidRDefault="00F5380C">
      <w:pPr>
        <w:numPr>
          <w:ilvl w:val="0"/>
          <w:numId w:val="3"/>
        </w:numPr>
        <w:spacing w:after="120"/>
        <w:ind w:hanging="360"/>
        <w:jc w:val="both"/>
        <w:rPr>
          <w:sz w:val="22"/>
          <w:szCs w:val="22"/>
          <w:lang w:val="fr-FR"/>
        </w:rPr>
      </w:pPr>
      <w:r w:rsidRPr="00A57625">
        <w:rPr>
          <w:rFonts w:ascii="Lato" w:eastAsia="Lato" w:hAnsi="Lato" w:cs="Lato"/>
          <w:sz w:val="22"/>
          <w:szCs w:val="22"/>
          <w:lang w:val="fr-FR"/>
        </w:rPr>
        <w:t>L’échange sur les perspectives de collaboration entre les deux institutions.</w:t>
      </w:r>
    </w:p>
    <w:p w:rsidR="004F5B5B" w:rsidRDefault="00F5380C">
      <w:pPr>
        <w:numPr>
          <w:ilvl w:val="1"/>
          <w:numId w:val="5"/>
        </w:numPr>
        <w:spacing w:before="360" w:after="120" w:line="276" w:lineRule="auto"/>
        <w:ind w:left="1276" w:hanging="567"/>
        <w:contextualSpacing/>
        <w:jc w:val="both"/>
        <w:rPr>
          <w:rFonts w:ascii="Lato" w:eastAsia="Lato" w:hAnsi="Lato" w:cs="Lato"/>
          <w:b/>
          <w:color w:val="006699"/>
          <w:sz w:val="22"/>
          <w:szCs w:val="22"/>
        </w:rPr>
      </w:pPr>
      <w:r>
        <w:rPr>
          <w:rFonts w:ascii="Lato" w:eastAsia="Lato" w:hAnsi="Lato" w:cs="Lato"/>
          <w:b/>
          <w:color w:val="006699"/>
          <w:sz w:val="22"/>
          <w:szCs w:val="22"/>
        </w:rPr>
        <w:t>Séance d’ouverture</w:t>
      </w:r>
    </w:p>
    <w:p w:rsidR="004F5B5B" w:rsidRPr="00A57625" w:rsidRDefault="00F5380C">
      <w:pPr>
        <w:spacing w:after="120"/>
        <w:jc w:val="both"/>
        <w:rPr>
          <w:lang w:val="fr-FR"/>
        </w:rPr>
      </w:pPr>
      <w:r w:rsidRPr="00A57625">
        <w:rPr>
          <w:rFonts w:ascii="Lato" w:eastAsia="Lato" w:hAnsi="Lato" w:cs="Lato"/>
          <w:sz w:val="22"/>
          <w:szCs w:val="22"/>
          <w:lang w:val="fr-FR"/>
        </w:rPr>
        <w:t xml:space="preserve">La réunion a été ouverte par deux interventions : une brève allocution de bienvenue de M. Omar Ismael Abdourahman, Directeur par intérim du BSR-AN/CEA et une allocution de circonstance de M. Reda El Merini, Directeur des Affaires Economiques au Secrétariat général de l’UMA. </w:t>
      </w:r>
    </w:p>
    <w:p w:rsidR="004F5B5B" w:rsidRPr="00A57625" w:rsidRDefault="00F5380C">
      <w:pPr>
        <w:spacing w:after="120"/>
        <w:jc w:val="both"/>
        <w:rPr>
          <w:lang w:val="fr-FR"/>
        </w:rPr>
      </w:pPr>
      <w:r w:rsidRPr="00A57625">
        <w:rPr>
          <w:rFonts w:ascii="Lato" w:eastAsia="Lato" w:hAnsi="Lato" w:cs="Lato"/>
          <w:sz w:val="22"/>
          <w:szCs w:val="22"/>
          <w:lang w:val="fr-FR"/>
        </w:rPr>
        <w:t>Le Directeur par intérim du BSR-AN/CEA a d’abord exprimé le plaisir de l’équipe du Bureau de la CEA de rencontrer celle du Secrétariat Général de l’UMA, pour échanger et débattre sur les thématiques d’intérêt commun. En rappelant l’objectif de la réunion qui consiste à examiner les réalisations du programme de coopération entre les deux institutions, le Directeur a placé la réunion dans son contexte à la fois régional, institutionnel mais également en référence à l’historique de la collaboration fructueuse entre les deux institutions. En effet, ce nouveau projet de programme vient à la suite d’un recentrage de l’action de la CEA sur la promotion de recherches et analyses plus approfondies pour l’objectif stratégique d’une transformation structurelle des économies du Continent, et son contenu programmatique doit, en conséquence, en prendre compte. Le projet répond également aux défis et enjeux de développement que vivent les pays de la sous-région.</w:t>
      </w:r>
    </w:p>
    <w:p w:rsidR="004F5B5B" w:rsidRPr="00A57625" w:rsidRDefault="00F5380C">
      <w:pPr>
        <w:spacing w:after="120"/>
        <w:jc w:val="both"/>
        <w:rPr>
          <w:lang w:val="fr-FR"/>
        </w:rPr>
      </w:pPr>
      <w:r w:rsidRPr="00A57625">
        <w:rPr>
          <w:rFonts w:ascii="Lato" w:eastAsia="Lato" w:hAnsi="Lato" w:cs="Lato"/>
          <w:sz w:val="22"/>
          <w:szCs w:val="22"/>
          <w:lang w:val="fr-FR"/>
        </w:rPr>
        <w:t>Le Directeur s’est également référé à la dynamique de changement institutionnel au sein du Secrétariat général de l’UMA qui devrait stimuler une perspective positive en termes de collaboration entre les deux organismes.</w:t>
      </w:r>
    </w:p>
    <w:p w:rsidR="004F5B5B" w:rsidRPr="00A57625" w:rsidRDefault="00466532">
      <w:pPr>
        <w:spacing w:after="120"/>
        <w:jc w:val="both"/>
        <w:rPr>
          <w:lang w:val="fr-FR"/>
        </w:rPr>
      </w:pPr>
      <w:r w:rsidRPr="00A57625">
        <w:rPr>
          <w:rFonts w:ascii="Lato" w:eastAsia="Lato" w:hAnsi="Lato" w:cs="Lato"/>
          <w:sz w:val="22"/>
          <w:szCs w:val="22"/>
          <w:lang w:val="fr-FR"/>
        </w:rPr>
        <w:lastRenderedPageBreak/>
        <w:t xml:space="preserve">Dans son allocution, </w:t>
      </w:r>
      <w:r w:rsidR="00F5380C" w:rsidRPr="00A57625">
        <w:rPr>
          <w:rFonts w:ascii="Lato" w:eastAsia="Lato" w:hAnsi="Lato" w:cs="Lato"/>
          <w:sz w:val="22"/>
          <w:szCs w:val="22"/>
          <w:lang w:val="fr-FR"/>
        </w:rPr>
        <w:t xml:space="preserve">M. El Merini a également mis en valeur le partenariat et la collaboration entre l’UMA et la CEA, en félicitant les deux institutions pour les réalisations et les objectifs atteints. Cette collaboration est appelée à se renforcer davantage, a souligné M. El Merini, au vu des changements stratégiques et programmatiques opérés par la CEA et au vu du changement de leadership au sein de l’UMA. Dynamiques qui devraient permettre de répondre aux nouveaux défis communs auquel l’urgence d’apporter des réponses rend encore plus opportun les efforts conjoints. </w:t>
      </w:r>
    </w:p>
    <w:p w:rsidR="004F5B5B" w:rsidRPr="00A57625" w:rsidRDefault="00F5380C">
      <w:pPr>
        <w:spacing w:after="120"/>
        <w:jc w:val="both"/>
        <w:rPr>
          <w:lang w:val="fr-FR"/>
        </w:rPr>
      </w:pPr>
      <w:r w:rsidRPr="00A57625">
        <w:rPr>
          <w:rFonts w:ascii="Lato" w:eastAsia="Lato" w:hAnsi="Lato" w:cs="Lato"/>
          <w:sz w:val="22"/>
          <w:szCs w:val="22"/>
          <w:lang w:val="fr-FR"/>
        </w:rPr>
        <w:t xml:space="preserve">M. El Merini a terminé son propos en remerciant la CEA pour les acquis et les réalisations qui ont déjà permis d’importantes avancées dans le programme de travail de l’UMA. Il a enfin souhaité pleine réussite aux travaux de la réunion. </w:t>
      </w:r>
    </w:p>
    <w:p w:rsidR="004F5B5B" w:rsidRDefault="00F5380C">
      <w:pPr>
        <w:numPr>
          <w:ilvl w:val="1"/>
          <w:numId w:val="6"/>
        </w:numPr>
        <w:spacing w:before="360" w:after="120" w:line="276" w:lineRule="auto"/>
        <w:ind w:hanging="420"/>
        <w:contextualSpacing/>
        <w:jc w:val="both"/>
        <w:rPr>
          <w:rFonts w:ascii="Lato" w:eastAsia="Lato" w:hAnsi="Lato" w:cs="Lato"/>
          <w:b/>
          <w:color w:val="006699"/>
          <w:sz w:val="22"/>
          <w:szCs w:val="22"/>
        </w:rPr>
      </w:pPr>
      <w:r w:rsidRPr="00A57625">
        <w:rPr>
          <w:rFonts w:ascii="Lato" w:eastAsia="Lato" w:hAnsi="Lato" w:cs="Lato"/>
          <w:b/>
          <w:color w:val="006699"/>
          <w:sz w:val="22"/>
          <w:szCs w:val="22"/>
          <w:lang w:val="fr-FR"/>
        </w:rPr>
        <w:t xml:space="preserve">   </w:t>
      </w:r>
      <w:r>
        <w:rPr>
          <w:rFonts w:ascii="Lato" w:eastAsia="Lato" w:hAnsi="Lato" w:cs="Lato"/>
          <w:b/>
          <w:color w:val="006699"/>
          <w:sz w:val="22"/>
          <w:szCs w:val="22"/>
        </w:rPr>
        <w:t>Présentation du rapport d’activités 2014-2016</w:t>
      </w:r>
    </w:p>
    <w:p w:rsidR="004F5B5B" w:rsidRPr="00A57625" w:rsidRDefault="00F5380C">
      <w:pPr>
        <w:spacing w:after="120"/>
        <w:jc w:val="both"/>
        <w:rPr>
          <w:lang w:val="fr-FR"/>
        </w:rPr>
      </w:pPr>
      <w:r w:rsidRPr="00A57625">
        <w:rPr>
          <w:rFonts w:ascii="Lato" w:eastAsia="Lato" w:hAnsi="Lato" w:cs="Lato"/>
          <w:sz w:val="22"/>
          <w:szCs w:val="22"/>
          <w:lang w:val="fr-FR"/>
        </w:rPr>
        <w:t xml:space="preserve">Le Bureau pour l’Afrique du Nord de la CEA a présenté le rapport d’activités couvrant la période 2014-2016. La présentation a inclus un bref rappel du contexte régional, international dans le quel intervient le programme de coopération entre la CEA et l’UMA, en signalant les dynamiques institutionnelles que vivent ces deux institutions et qui aspirent à mieux répondre aux défis de la sous-région. </w:t>
      </w:r>
    </w:p>
    <w:p w:rsidR="004F5B5B" w:rsidRPr="00A57625" w:rsidRDefault="00F5380C">
      <w:pPr>
        <w:spacing w:after="120"/>
        <w:jc w:val="both"/>
        <w:rPr>
          <w:lang w:val="fr-FR"/>
        </w:rPr>
      </w:pPr>
      <w:r w:rsidRPr="00A57625">
        <w:rPr>
          <w:rFonts w:ascii="Lato" w:eastAsia="Lato" w:hAnsi="Lato" w:cs="Lato"/>
          <w:sz w:val="22"/>
          <w:szCs w:val="22"/>
          <w:lang w:val="fr-FR"/>
        </w:rPr>
        <w:t>La coopération entre la CEA et l’UMA repose également sur des mécanismes de capitalisation des acquis et qui sont ; i) la tenue d’évaluations régulières, ii) le partage d’analyses et de diagnostics communs, et iii) une ouverture du champ de partenariats à d’autres institutions régionales.</w:t>
      </w:r>
    </w:p>
    <w:p w:rsidR="004F5B5B" w:rsidRPr="00A57625" w:rsidRDefault="00F5380C">
      <w:pPr>
        <w:spacing w:after="120"/>
        <w:jc w:val="both"/>
        <w:rPr>
          <w:lang w:val="fr-FR"/>
        </w:rPr>
      </w:pPr>
      <w:r w:rsidRPr="00A57625">
        <w:rPr>
          <w:rFonts w:ascii="Lato" w:eastAsia="Lato" w:hAnsi="Lato" w:cs="Lato"/>
          <w:sz w:val="22"/>
          <w:szCs w:val="22"/>
          <w:lang w:val="fr-FR"/>
        </w:rPr>
        <w:t>Les axes d’interventions, conjointement définis pour la période 2014-2016 et qui structurent les activités mises en œuvre, concernent ; i) Accélération de l’intégration régionale dans ses dimensions de développement économique, facilitation du commerce et promotion du secteur privé, et ii) Intégration des dimensions « genre » et « migration » dans l’agenda sous régional.</w:t>
      </w:r>
    </w:p>
    <w:p w:rsidR="004F5B5B" w:rsidRPr="00A57625" w:rsidRDefault="00F5380C">
      <w:pPr>
        <w:spacing w:after="120"/>
        <w:jc w:val="both"/>
        <w:rPr>
          <w:lang w:val="fr-FR"/>
        </w:rPr>
      </w:pPr>
      <w:r w:rsidRPr="00A57625">
        <w:rPr>
          <w:rFonts w:ascii="Lato" w:eastAsia="Lato" w:hAnsi="Lato" w:cs="Lato"/>
          <w:sz w:val="22"/>
          <w:szCs w:val="22"/>
          <w:lang w:val="fr-FR"/>
        </w:rPr>
        <w:t>Les activités concernant le premier axe sont comme suit :</w:t>
      </w:r>
    </w:p>
    <w:p w:rsidR="004F5B5B" w:rsidRPr="00A57625" w:rsidRDefault="00F5380C">
      <w:pPr>
        <w:numPr>
          <w:ilvl w:val="0"/>
          <w:numId w:val="8"/>
        </w:numPr>
        <w:spacing w:after="120"/>
        <w:ind w:hanging="360"/>
        <w:jc w:val="both"/>
        <w:rPr>
          <w:sz w:val="22"/>
          <w:szCs w:val="22"/>
          <w:lang w:val="fr-FR"/>
        </w:rPr>
      </w:pPr>
      <w:r w:rsidRPr="00A57625">
        <w:rPr>
          <w:rFonts w:ascii="Lato" w:eastAsia="Lato" w:hAnsi="Lato" w:cs="Lato"/>
          <w:sz w:val="22"/>
          <w:szCs w:val="22"/>
          <w:lang w:val="fr-FR"/>
        </w:rPr>
        <w:t>Intégration régionale et secteurs porteurs dans l’espace UMA : Le développement des chaines de valeurs régionales (CVR). Cette ligne d’activités a rassemblé plusieurs actions dont une table ronde des experts lors du 29</w:t>
      </w:r>
      <w:r w:rsidRPr="00A57625">
        <w:rPr>
          <w:rFonts w:ascii="Lato" w:eastAsia="Lato" w:hAnsi="Lato" w:cs="Lato"/>
          <w:sz w:val="22"/>
          <w:szCs w:val="22"/>
          <w:vertAlign w:val="superscript"/>
          <w:lang w:val="fr-FR"/>
        </w:rPr>
        <w:t>ème</w:t>
      </w:r>
      <w:r w:rsidRPr="00A57625">
        <w:rPr>
          <w:rFonts w:ascii="Lato" w:eastAsia="Lato" w:hAnsi="Lato" w:cs="Lato"/>
          <w:sz w:val="22"/>
          <w:szCs w:val="22"/>
          <w:lang w:val="fr-FR"/>
        </w:rPr>
        <w:t xml:space="preserve"> Comité Intergouvernemental d’Experts, une étude technique sur les chaînes de valeurs régionales, une réunion d’experts et un colloque international ;</w:t>
      </w:r>
    </w:p>
    <w:p w:rsidR="004F5B5B" w:rsidRPr="00A57625" w:rsidRDefault="00F5380C">
      <w:pPr>
        <w:numPr>
          <w:ilvl w:val="0"/>
          <w:numId w:val="8"/>
        </w:numPr>
        <w:spacing w:after="120"/>
        <w:ind w:hanging="360"/>
        <w:jc w:val="both"/>
        <w:rPr>
          <w:sz w:val="22"/>
          <w:szCs w:val="22"/>
          <w:lang w:val="fr-FR"/>
        </w:rPr>
      </w:pPr>
      <w:r w:rsidRPr="00A57625">
        <w:rPr>
          <w:rFonts w:ascii="Lato" w:eastAsia="Lato" w:hAnsi="Lato" w:cs="Lato"/>
          <w:sz w:val="22"/>
          <w:szCs w:val="22"/>
          <w:lang w:val="fr-FR"/>
        </w:rPr>
        <w:t>Appui technique et services-conseils à l’UME : Trois tables rondes nationales (Tunisie, Algérie et Maroc) et une table ronde régionale (Belgique) ont été appuyées afin de soutenir la participation du secteur privé maghrébin aux actions climatiques. La table ronde régionale a abouti à l'adoption de la Déclaration de l'UME, présentée lors de la COP 22 ;</w:t>
      </w:r>
    </w:p>
    <w:p w:rsidR="004F5B5B" w:rsidRPr="00A57625" w:rsidRDefault="00F5380C">
      <w:pPr>
        <w:numPr>
          <w:ilvl w:val="0"/>
          <w:numId w:val="8"/>
        </w:numPr>
        <w:spacing w:after="120"/>
        <w:ind w:hanging="360"/>
        <w:jc w:val="both"/>
        <w:rPr>
          <w:sz w:val="22"/>
          <w:szCs w:val="22"/>
          <w:lang w:val="fr-FR"/>
        </w:rPr>
      </w:pPr>
      <w:r w:rsidRPr="00A57625">
        <w:rPr>
          <w:rFonts w:ascii="Lato" w:eastAsia="Lato" w:hAnsi="Lato" w:cs="Lato"/>
          <w:sz w:val="22"/>
          <w:szCs w:val="22"/>
          <w:lang w:val="fr-FR"/>
        </w:rPr>
        <w:t>Appui à la mise en œuvre du Programme d’action sous régional de lutte contre la désertification au Maghreb PASR-LCD (2011-2020) : Une étude sur la rentabilité économique, sociale et environnementale des investissements stratégiques en matière de lutte contre la désertification a été finalisée ;</w:t>
      </w:r>
    </w:p>
    <w:p w:rsidR="004F5B5B" w:rsidRPr="00A57625" w:rsidRDefault="00F5380C">
      <w:pPr>
        <w:numPr>
          <w:ilvl w:val="0"/>
          <w:numId w:val="8"/>
        </w:numPr>
        <w:spacing w:after="120"/>
        <w:ind w:hanging="360"/>
        <w:jc w:val="both"/>
        <w:rPr>
          <w:sz w:val="22"/>
          <w:szCs w:val="22"/>
          <w:lang w:val="fr-FR"/>
        </w:rPr>
      </w:pPr>
      <w:r w:rsidRPr="00A57625">
        <w:rPr>
          <w:rFonts w:ascii="Lato" w:eastAsia="Lato" w:hAnsi="Lato" w:cs="Lato"/>
          <w:sz w:val="22"/>
          <w:szCs w:val="22"/>
          <w:lang w:val="fr-FR"/>
        </w:rPr>
        <w:t>Atelier de formation sur les règles d’origine : L’atelier a été organisé en faveur du Groupe de travail de l’UMA en charge de la préparation du protocole d’accord sur les règles d’origine ;</w:t>
      </w:r>
    </w:p>
    <w:p w:rsidR="004F5B5B" w:rsidRPr="00A57625" w:rsidRDefault="00F5380C">
      <w:pPr>
        <w:numPr>
          <w:ilvl w:val="0"/>
          <w:numId w:val="8"/>
        </w:numPr>
        <w:spacing w:after="120"/>
        <w:ind w:hanging="360"/>
        <w:jc w:val="both"/>
        <w:rPr>
          <w:sz w:val="22"/>
          <w:szCs w:val="22"/>
          <w:lang w:val="fr-FR"/>
        </w:rPr>
      </w:pPr>
      <w:r w:rsidRPr="00A57625">
        <w:rPr>
          <w:rFonts w:ascii="Lato" w:eastAsia="Lato" w:hAnsi="Lato" w:cs="Lato"/>
          <w:sz w:val="22"/>
          <w:szCs w:val="22"/>
          <w:lang w:val="fr-FR"/>
        </w:rPr>
        <w:lastRenderedPageBreak/>
        <w:t>Atelier sur l’harmonisation des procédures douanières et l’échange de documents informatiques entre administrations douanières dans la région arabe ;</w:t>
      </w:r>
    </w:p>
    <w:p w:rsidR="004F5B5B" w:rsidRPr="00A57625" w:rsidRDefault="00F5380C">
      <w:pPr>
        <w:numPr>
          <w:ilvl w:val="0"/>
          <w:numId w:val="8"/>
        </w:numPr>
        <w:spacing w:after="120"/>
        <w:ind w:hanging="360"/>
        <w:jc w:val="both"/>
        <w:rPr>
          <w:sz w:val="22"/>
          <w:szCs w:val="22"/>
          <w:lang w:val="fr-FR"/>
        </w:rPr>
      </w:pPr>
      <w:r w:rsidRPr="00A57625">
        <w:rPr>
          <w:rFonts w:ascii="Lato" w:eastAsia="Lato" w:hAnsi="Lato" w:cs="Lato"/>
          <w:sz w:val="22"/>
          <w:szCs w:val="22"/>
          <w:lang w:val="fr-FR"/>
        </w:rPr>
        <w:t>Appui technique et services-conseils pour la mise en place d’un mécanisme de financement autonome de l’intégration au Maghreb ;</w:t>
      </w:r>
    </w:p>
    <w:p w:rsidR="004F5B5B" w:rsidRPr="00A57625" w:rsidRDefault="00F5380C">
      <w:pPr>
        <w:numPr>
          <w:ilvl w:val="0"/>
          <w:numId w:val="8"/>
        </w:numPr>
        <w:spacing w:after="120"/>
        <w:ind w:hanging="360"/>
        <w:jc w:val="both"/>
        <w:rPr>
          <w:sz w:val="22"/>
          <w:szCs w:val="22"/>
          <w:lang w:val="fr-FR"/>
        </w:rPr>
      </w:pPr>
      <w:r w:rsidRPr="00A57625">
        <w:rPr>
          <w:rFonts w:ascii="Lato" w:eastAsia="Lato" w:hAnsi="Lato" w:cs="Lato"/>
          <w:sz w:val="22"/>
          <w:szCs w:val="22"/>
          <w:lang w:val="fr-FR"/>
        </w:rPr>
        <w:t>Etude et réunion d’experts sur le transport international et la facilitation du commerce: un plan d’action visant la simplification et l’harmonisation des formalités a été préparé ;</w:t>
      </w:r>
    </w:p>
    <w:p w:rsidR="004F5B5B" w:rsidRPr="00A57625" w:rsidRDefault="00F5380C">
      <w:pPr>
        <w:numPr>
          <w:ilvl w:val="0"/>
          <w:numId w:val="8"/>
        </w:numPr>
        <w:spacing w:after="120"/>
        <w:ind w:hanging="360"/>
        <w:jc w:val="both"/>
        <w:rPr>
          <w:sz w:val="22"/>
          <w:szCs w:val="22"/>
          <w:lang w:val="fr-FR"/>
        </w:rPr>
      </w:pPr>
      <w:r w:rsidRPr="00A57625">
        <w:rPr>
          <w:rFonts w:ascii="Lato" w:eastAsia="Lato" w:hAnsi="Lato" w:cs="Lato"/>
          <w:sz w:val="22"/>
          <w:szCs w:val="22"/>
          <w:lang w:val="fr-FR"/>
        </w:rPr>
        <w:t>Appui à l’UMA et aux Etats membres pour la mise en œuvre de l’Initiative BIAT/CFTA : deux ateliers régionaux ont été organisés ;</w:t>
      </w:r>
    </w:p>
    <w:p w:rsidR="004F5B5B" w:rsidRPr="00A57625" w:rsidRDefault="00F5380C">
      <w:pPr>
        <w:numPr>
          <w:ilvl w:val="0"/>
          <w:numId w:val="8"/>
        </w:numPr>
        <w:spacing w:after="120"/>
        <w:ind w:hanging="360"/>
        <w:jc w:val="both"/>
        <w:rPr>
          <w:sz w:val="22"/>
          <w:szCs w:val="22"/>
          <w:lang w:val="fr-FR"/>
        </w:rPr>
      </w:pPr>
      <w:r w:rsidRPr="00A57625">
        <w:rPr>
          <w:rFonts w:ascii="Lato" w:eastAsia="Lato" w:hAnsi="Lato" w:cs="Lato"/>
          <w:sz w:val="22"/>
          <w:szCs w:val="22"/>
          <w:lang w:val="fr-FR"/>
        </w:rPr>
        <w:t>Etude et réunion d’experts sur l’industrialisation par le commerce en Afrique du Nord dans le contexte de la Zone de Libre Echange Continentale et les Méga accords commerciaux ; et</w:t>
      </w:r>
    </w:p>
    <w:p w:rsidR="004F5B5B" w:rsidRPr="00A57625" w:rsidRDefault="00F5380C">
      <w:pPr>
        <w:numPr>
          <w:ilvl w:val="0"/>
          <w:numId w:val="8"/>
        </w:numPr>
        <w:spacing w:after="120"/>
        <w:ind w:hanging="360"/>
        <w:jc w:val="both"/>
        <w:rPr>
          <w:sz w:val="22"/>
          <w:szCs w:val="22"/>
          <w:lang w:val="fr-FR"/>
        </w:rPr>
      </w:pPr>
      <w:r w:rsidRPr="00A57625">
        <w:rPr>
          <w:rFonts w:ascii="Lato" w:eastAsia="Lato" w:hAnsi="Lato" w:cs="Lato"/>
          <w:sz w:val="22"/>
          <w:szCs w:val="22"/>
          <w:lang w:val="fr-FR"/>
        </w:rPr>
        <w:t>Réunions du Mécanisme  de coordination sous régionale MSRC-Afrique du Nord (2014, 2015 et 2016).</w:t>
      </w:r>
    </w:p>
    <w:p w:rsidR="004F5B5B" w:rsidRPr="00A57625" w:rsidRDefault="00F5380C">
      <w:pPr>
        <w:spacing w:after="120"/>
        <w:jc w:val="both"/>
        <w:rPr>
          <w:lang w:val="fr-FR"/>
        </w:rPr>
      </w:pPr>
      <w:r w:rsidRPr="00A57625">
        <w:rPr>
          <w:rFonts w:ascii="Lato" w:eastAsia="Lato" w:hAnsi="Lato" w:cs="Lato"/>
          <w:lang w:val="fr-FR"/>
        </w:rPr>
        <w:t>L’axe “intégration des dimensions genre et migration dans l’agenda sous régional” a donné lieu aux activités suivantes:</w:t>
      </w:r>
    </w:p>
    <w:p w:rsidR="004F5B5B" w:rsidRPr="00A57625" w:rsidRDefault="00F5380C">
      <w:pPr>
        <w:numPr>
          <w:ilvl w:val="0"/>
          <w:numId w:val="8"/>
        </w:numPr>
        <w:spacing w:after="120"/>
        <w:ind w:hanging="360"/>
        <w:jc w:val="both"/>
        <w:rPr>
          <w:sz w:val="22"/>
          <w:szCs w:val="22"/>
          <w:lang w:val="fr-FR"/>
        </w:rPr>
      </w:pPr>
      <w:r w:rsidRPr="00A57625">
        <w:rPr>
          <w:rFonts w:ascii="Lato" w:eastAsia="Lato" w:hAnsi="Lato" w:cs="Lato"/>
          <w:sz w:val="22"/>
          <w:szCs w:val="22"/>
          <w:lang w:val="fr-FR"/>
        </w:rPr>
        <w:t>Etude et réunion d’experts pour l’intégration de la migration dans les processus de développement : Deux études nationales (Maroc et Tunisie) et deux ateliers régionaux ont été organisés ;</w:t>
      </w:r>
    </w:p>
    <w:p w:rsidR="004F5B5B" w:rsidRPr="00A57625" w:rsidRDefault="00F5380C">
      <w:pPr>
        <w:numPr>
          <w:ilvl w:val="0"/>
          <w:numId w:val="8"/>
        </w:numPr>
        <w:spacing w:after="120"/>
        <w:ind w:hanging="360"/>
        <w:jc w:val="both"/>
        <w:rPr>
          <w:sz w:val="22"/>
          <w:szCs w:val="22"/>
          <w:lang w:val="fr-FR"/>
        </w:rPr>
      </w:pPr>
      <w:r w:rsidRPr="00A57625">
        <w:rPr>
          <w:rFonts w:ascii="Lato" w:eastAsia="Lato" w:hAnsi="Lato" w:cs="Lato"/>
          <w:sz w:val="22"/>
          <w:szCs w:val="22"/>
          <w:lang w:val="fr-FR"/>
        </w:rPr>
        <w:t>Appui à l’élaboration d’une stratégie Genre pour l’UMA : La stratégie élaborée a intégré une approche genre tant dans le programme de travail que dans le fonctionnement interne.</w:t>
      </w:r>
    </w:p>
    <w:p w:rsidR="004F5B5B" w:rsidRPr="00A57625" w:rsidRDefault="00F5380C">
      <w:pPr>
        <w:spacing w:after="120"/>
        <w:jc w:val="both"/>
        <w:rPr>
          <w:lang w:val="fr-FR"/>
        </w:rPr>
      </w:pPr>
      <w:r w:rsidRPr="00A57625">
        <w:rPr>
          <w:rFonts w:ascii="Lato" w:eastAsia="Lato" w:hAnsi="Lato" w:cs="Lato"/>
          <w:sz w:val="22"/>
          <w:szCs w:val="22"/>
          <w:lang w:val="fr-FR"/>
        </w:rPr>
        <w:t>Les interventions des participants faisant suite à la présentation du rapport d’activités ont salué la qualité et la pertinence des interventions mises en œuvre pour la période 2014-2016 et appelé à la continuité des efforts de collaboration entre les deux institutions.</w:t>
      </w:r>
    </w:p>
    <w:p w:rsidR="004F5B5B" w:rsidRPr="00A57625" w:rsidRDefault="00F5380C">
      <w:pPr>
        <w:numPr>
          <w:ilvl w:val="1"/>
          <w:numId w:val="7"/>
        </w:numPr>
        <w:spacing w:before="360" w:after="120" w:line="276" w:lineRule="auto"/>
        <w:ind w:hanging="420"/>
        <w:contextualSpacing/>
        <w:jc w:val="both"/>
        <w:rPr>
          <w:rFonts w:ascii="Lato" w:eastAsia="Lato" w:hAnsi="Lato" w:cs="Lato"/>
          <w:b/>
          <w:color w:val="006699"/>
          <w:sz w:val="22"/>
          <w:szCs w:val="22"/>
          <w:lang w:val="fr-FR"/>
        </w:rPr>
      </w:pPr>
      <w:r w:rsidRPr="00A57625">
        <w:rPr>
          <w:rFonts w:ascii="Lato" w:eastAsia="Lato" w:hAnsi="Lato" w:cs="Lato"/>
          <w:b/>
          <w:color w:val="006699"/>
          <w:sz w:val="22"/>
          <w:szCs w:val="22"/>
          <w:lang w:val="fr-FR"/>
        </w:rPr>
        <w:t xml:space="preserve">   Echange sur les perspectives de collaboration </w:t>
      </w:r>
    </w:p>
    <w:p w:rsidR="004F5B5B" w:rsidRPr="00A57625" w:rsidRDefault="00F5380C">
      <w:pPr>
        <w:spacing w:after="120"/>
        <w:ind w:right="146"/>
        <w:jc w:val="both"/>
        <w:rPr>
          <w:lang w:val="fr-FR"/>
        </w:rPr>
      </w:pPr>
      <w:r w:rsidRPr="00A57625">
        <w:rPr>
          <w:rFonts w:ascii="Lato" w:eastAsia="Lato" w:hAnsi="Lato" w:cs="Lato"/>
          <w:sz w:val="22"/>
          <w:szCs w:val="22"/>
          <w:lang w:val="fr-FR"/>
        </w:rPr>
        <w:t>Le troisième point de l’ordre du jour a donné lieu à une discussion ouverte sur les perspectives de collaboration entre les deux institutions. Au terme des échanges et des débats, le Bureau pour l’Afrique du Nord de la CEA et le Secrétariat général de l’UMA ont confirmé la pertinence des axes stratégiques pour la suite de la collaboration entre les deux institutions.</w:t>
      </w:r>
    </w:p>
    <w:p w:rsidR="004F5B5B" w:rsidRPr="00A57625" w:rsidRDefault="00F5380C">
      <w:pPr>
        <w:spacing w:after="120"/>
        <w:jc w:val="both"/>
        <w:rPr>
          <w:lang w:val="fr-FR"/>
        </w:rPr>
      </w:pPr>
      <w:r w:rsidRPr="00A57625">
        <w:rPr>
          <w:rFonts w:ascii="Lato" w:eastAsia="Lato" w:hAnsi="Lato" w:cs="Lato"/>
          <w:sz w:val="22"/>
          <w:szCs w:val="22"/>
          <w:lang w:val="fr-FR"/>
        </w:rPr>
        <w:t xml:space="preserve">Les échanges ont aussi permis de s’accorder sur l’importance du programme adopté pour la promotion de l’intégration régionale au Maghreb, et l’ambition qu’il porte en termes de  collaboration plus étroite entre les deux institutions. Les deux partenaires ont convenu de se retrouver en comité restreint pour affiner la programmation des activités à venir. </w:t>
      </w:r>
    </w:p>
    <w:p w:rsidR="004F5B5B" w:rsidRPr="00A57625" w:rsidRDefault="00F5380C">
      <w:pPr>
        <w:spacing w:after="120"/>
        <w:jc w:val="both"/>
        <w:rPr>
          <w:lang w:val="fr-FR"/>
        </w:rPr>
      </w:pPr>
      <w:r w:rsidRPr="00A57625">
        <w:rPr>
          <w:rFonts w:ascii="Lato" w:eastAsia="Lato" w:hAnsi="Lato" w:cs="Lato"/>
          <w:sz w:val="22"/>
          <w:szCs w:val="22"/>
          <w:lang w:val="fr-FR"/>
        </w:rPr>
        <w:t>Les pistes de collaborations examinées, et qui feraient l’objet d’un suivi conjoint entre les deux organismes, concernent :</w:t>
      </w:r>
    </w:p>
    <w:p w:rsidR="004F5B5B" w:rsidRPr="00A57625" w:rsidRDefault="00F5380C">
      <w:pPr>
        <w:numPr>
          <w:ilvl w:val="0"/>
          <w:numId w:val="9"/>
        </w:numPr>
        <w:spacing w:after="120"/>
        <w:ind w:hanging="360"/>
        <w:jc w:val="both"/>
        <w:rPr>
          <w:sz w:val="22"/>
          <w:szCs w:val="22"/>
          <w:lang w:val="fr-FR"/>
        </w:rPr>
      </w:pPr>
      <w:r w:rsidRPr="00A57625">
        <w:rPr>
          <w:rFonts w:ascii="Lato" w:eastAsia="Lato" w:hAnsi="Lato" w:cs="Lato"/>
          <w:sz w:val="22"/>
          <w:szCs w:val="22"/>
          <w:lang w:val="fr-FR"/>
        </w:rPr>
        <w:t>L’approfondissement du savoir autour de la question des chaines de valeur régionales ;</w:t>
      </w:r>
    </w:p>
    <w:p w:rsidR="004F5B5B" w:rsidRPr="00A57625" w:rsidRDefault="00F5380C">
      <w:pPr>
        <w:numPr>
          <w:ilvl w:val="0"/>
          <w:numId w:val="9"/>
        </w:numPr>
        <w:spacing w:after="120"/>
        <w:ind w:hanging="360"/>
        <w:jc w:val="both"/>
        <w:rPr>
          <w:sz w:val="22"/>
          <w:szCs w:val="22"/>
          <w:lang w:val="fr-FR"/>
        </w:rPr>
      </w:pPr>
      <w:r w:rsidRPr="00A57625">
        <w:rPr>
          <w:rFonts w:ascii="Lato" w:eastAsia="Lato" w:hAnsi="Lato" w:cs="Lato"/>
          <w:sz w:val="22"/>
          <w:szCs w:val="22"/>
          <w:lang w:val="fr-FR"/>
        </w:rPr>
        <w:t>La préparation d’une étude sur l’échange électronique des documents douaniers ;</w:t>
      </w:r>
    </w:p>
    <w:p w:rsidR="004F5B5B" w:rsidRPr="00A57625" w:rsidRDefault="00F5380C">
      <w:pPr>
        <w:numPr>
          <w:ilvl w:val="0"/>
          <w:numId w:val="9"/>
        </w:numPr>
        <w:spacing w:after="120"/>
        <w:ind w:hanging="360"/>
        <w:jc w:val="both"/>
        <w:rPr>
          <w:sz w:val="22"/>
          <w:szCs w:val="22"/>
          <w:lang w:val="fr-FR"/>
        </w:rPr>
      </w:pPr>
      <w:r w:rsidRPr="00A57625">
        <w:rPr>
          <w:rFonts w:ascii="Lato" w:eastAsia="Lato" w:hAnsi="Lato" w:cs="Lato"/>
          <w:sz w:val="22"/>
          <w:szCs w:val="22"/>
          <w:lang w:val="fr-FR"/>
        </w:rPr>
        <w:lastRenderedPageBreak/>
        <w:t>L’évaluation prospective des effets de la mise en place de la zone de libre-échange continentale ;</w:t>
      </w:r>
    </w:p>
    <w:p w:rsidR="004F5B5B" w:rsidRPr="00A57625" w:rsidRDefault="00F5380C">
      <w:pPr>
        <w:numPr>
          <w:ilvl w:val="0"/>
          <w:numId w:val="9"/>
        </w:numPr>
        <w:spacing w:after="120"/>
        <w:ind w:hanging="360"/>
        <w:jc w:val="both"/>
        <w:rPr>
          <w:sz w:val="22"/>
          <w:szCs w:val="22"/>
          <w:lang w:val="fr-FR"/>
        </w:rPr>
      </w:pPr>
      <w:r w:rsidRPr="00A57625">
        <w:rPr>
          <w:rFonts w:ascii="Lato" w:eastAsia="Lato" w:hAnsi="Lato" w:cs="Lato"/>
          <w:sz w:val="22"/>
          <w:szCs w:val="22"/>
          <w:lang w:val="fr-FR"/>
        </w:rPr>
        <w:t>La préparation d’une étude sur les autoroutes de la mer ;</w:t>
      </w:r>
    </w:p>
    <w:p w:rsidR="004F5B5B" w:rsidRPr="00A57625" w:rsidRDefault="00F5380C">
      <w:pPr>
        <w:numPr>
          <w:ilvl w:val="0"/>
          <w:numId w:val="9"/>
        </w:numPr>
        <w:spacing w:after="120"/>
        <w:ind w:hanging="360"/>
        <w:jc w:val="both"/>
        <w:rPr>
          <w:sz w:val="22"/>
          <w:szCs w:val="22"/>
          <w:lang w:val="fr-FR"/>
        </w:rPr>
      </w:pPr>
      <w:r w:rsidRPr="00A57625">
        <w:rPr>
          <w:rFonts w:ascii="Lato" w:eastAsia="Lato" w:hAnsi="Lato" w:cs="Lato"/>
          <w:sz w:val="22"/>
          <w:szCs w:val="22"/>
          <w:lang w:val="fr-FR"/>
        </w:rPr>
        <w:t>Une meilleure compréhension des plateformes logistiques et leur rôle dans la promotion des échanges commerciaux ;</w:t>
      </w:r>
    </w:p>
    <w:p w:rsidR="004F5B5B" w:rsidRPr="00A57625" w:rsidRDefault="00F5380C">
      <w:pPr>
        <w:numPr>
          <w:ilvl w:val="0"/>
          <w:numId w:val="9"/>
        </w:numPr>
        <w:spacing w:after="120"/>
        <w:ind w:hanging="360"/>
        <w:jc w:val="both"/>
        <w:rPr>
          <w:sz w:val="22"/>
          <w:szCs w:val="22"/>
          <w:lang w:val="fr-FR"/>
        </w:rPr>
      </w:pPr>
      <w:r w:rsidRPr="00A57625">
        <w:rPr>
          <w:rFonts w:ascii="Lato" w:eastAsia="Lato" w:hAnsi="Lato" w:cs="Lato"/>
          <w:sz w:val="22"/>
          <w:szCs w:val="22"/>
          <w:lang w:val="fr-FR"/>
        </w:rPr>
        <w:t>Une formation aux techniques des négociations commerciales ; et</w:t>
      </w:r>
    </w:p>
    <w:p w:rsidR="004F5B5B" w:rsidRPr="00A57625" w:rsidRDefault="00F5380C">
      <w:pPr>
        <w:numPr>
          <w:ilvl w:val="0"/>
          <w:numId w:val="9"/>
        </w:numPr>
        <w:spacing w:after="120"/>
        <w:ind w:hanging="360"/>
        <w:jc w:val="both"/>
        <w:rPr>
          <w:sz w:val="22"/>
          <w:szCs w:val="22"/>
          <w:lang w:val="fr-FR"/>
        </w:rPr>
      </w:pPr>
      <w:r w:rsidRPr="00A57625">
        <w:rPr>
          <w:rFonts w:ascii="Lato" w:eastAsia="Lato" w:hAnsi="Lato" w:cs="Lato"/>
          <w:sz w:val="22"/>
          <w:szCs w:val="22"/>
          <w:lang w:val="fr-FR"/>
        </w:rPr>
        <w:t>L’approfondissement sur le rôle des institutions sous régionales pour le suivi des ODD.</w:t>
      </w:r>
    </w:p>
    <w:p w:rsidR="004F5B5B" w:rsidRPr="00A57625" w:rsidRDefault="004F5B5B">
      <w:pPr>
        <w:spacing w:after="120"/>
        <w:jc w:val="both"/>
        <w:rPr>
          <w:lang w:val="fr-FR"/>
        </w:rPr>
      </w:pPr>
    </w:p>
    <w:p w:rsidR="004F5B5B" w:rsidRPr="00A57625" w:rsidRDefault="00F5380C">
      <w:pPr>
        <w:spacing w:after="120"/>
        <w:jc w:val="both"/>
        <w:rPr>
          <w:lang w:val="fr-FR"/>
        </w:rPr>
      </w:pPr>
      <w:r w:rsidRPr="00A57625">
        <w:rPr>
          <w:rFonts w:ascii="Lato" w:eastAsia="Lato" w:hAnsi="Lato" w:cs="Lato"/>
          <w:sz w:val="22"/>
          <w:szCs w:val="22"/>
          <w:lang w:val="fr-FR"/>
        </w:rPr>
        <w:t>Les participants se sont accordés sur la nécessité d’enclencher rapidement les procédures de mobilisation de fonds nécessaires pour la mise en œuvre des activités identifiées et d’organiser des réunions restreintes entre spécialistes thématiques des deux institutions pour l’affinement des actions projetées.</w:t>
      </w:r>
    </w:p>
    <w:p w:rsidR="004F5B5B" w:rsidRDefault="00F5380C">
      <w:pPr>
        <w:numPr>
          <w:ilvl w:val="0"/>
          <w:numId w:val="7"/>
        </w:numPr>
        <w:spacing w:before="360" w:after="120"/>
        <w:ind w:left="714" w:right="147" w:hanging="357"/>
        <w:jc w:val="both"/>
        <w:rPr>
          <w:rFonts w:ascii="Lato" w:eastAsia="Lato" w:hAnsi="Lato" w:cs="Lato"/>
          <w:color w:val="006699"/>
          <w:sz w:val="22"/>
          <w:szCs w:val="22"/>
        </w:rPr>
      </w:pPr>
      <w:r>
        <w:rPr>
          <w:rFonts w:ascii="Lato" w:eastAsia="Lato" w:hAnsi="Lato" w:cs="Lato"/>
          <w:b/>
          <w:color w:val="006699"/>
          <w:sz w:val="22"/>
          <w:szCs w:val="22"/>
        </w:rPr>
        <w:t>Clôture de la réunion</w:t>
      </w:r>
    </w:p>
    <w:p w:rsidR="004F5B5B" w:rsidRPr="00A57625" w:rsidRDefault="00F5380C">
      <w:pPr>
        <w:spacing w:after="120"/>
        <w:ind w:right="146"/>
        <w:jc w:val="both"/>
        <w:rPr>
          <w:lang w:val="fr-FR"/>
        </w:rPr>
      </w:pPr>
      <w:bookmarkStart w:id="2" w:name="_30j0zll" w:colFirst="0" w:colLast="0"/>
      <w:bookmarkEnd w:id="2"/>
      <w:r w:rsidRPr="00A57625">
        <w:rPr>
          <w:rFonts w:ascii="Lato" w:eastAsia="Lato" w:hAnsi="Lato" w:cs="Lato"/>
          <w:sz w:val="22"/>
          <w:szCs w:val="22"/>
          <w:lang w:val="fr-FR"/>
        </w:rPr>
        <w:t>Le Directeur des Affaires Economique du Secrétariat général de l’UMA et la Directeur par intérim du BSR-AN/CEA se sont félicités des résultats de la réunion et ont renouvelé leur engagement mutuel pour une plus grande collaboration et un renforcement du partenariat existant entre la CEA et l’UMA.</w:t>
      </w:r>
    </w:p>
    <w:p w:rsidR="004F5B5B" w:rsidRPr="00A57625" w:rsidRDefault="00F5380C">
      <w:pPr>
        <w:spacing w:after="120"/>
        <w:ind w:right="146"/>
        <w:jc w:val="both"/>
        <w:rPr>
          <w:lang w:val="fr-FR"/>
        </w:rPr>
      </w:pPr>
      <w:r w:rsidRPr="00A57625">
        <w:rPr>
          <w:rFonts w:ascii="Lato" w:eastAsia="Lato" w:hAnsi="Lato" w:cs="Lato"/>
          <w:sz w:val="22"/>
          <w:szCs w:val="22"/>
          <w:lang w:val="fr-FR"/>
        </w:rPr>
        <w:t>Ils ont déclaré clos les travaux de la réunion.</w:t>
      </w:r>
    </w:p>
    <w:p w:rsidR="004F5B5B" w:rsidRPr="00A57625" w:rsidRDefault="004F5B5B">
      <w:pPr>
        <w:spacing w:after="120"/>
        <w:ind w:right="146"/>
        <w:jc w:val="both"/>
        <w:rPr>
          <w:lang w:val="fr-FR"/>
        </w:rPr>
      </w:pPr>
    </w:p>
    <w:p w:rsidR="004F5B5B" w:rsidRPr="00A57625" w:rsidRDefault="00F5380C">
      <w:pPr>
        <w:rPr>
          <w:lang w:val="fr-FR"/>
        </w:rPr>
      </w:pPr>
      <w:r w:rsidRPr="00A57625">
        <w:rPr>
          <w:lang w:val="fr-FR"/>
        </w:rPr>
        <w:br w:type="page"/>
      </w:r>
    </w:p>
    <w:p w:rsidR="004F5B5B" w:rsidRPr="00A57625" w:rsidRDefault="004F5B5B">
      <w:pPr>
        <w:spacing w:after="120"/>
        <w:rPr>
          <w:lang w:val="fr-FR"/>
        </w:rPr>
      </w:pPr>
    </w:p>
    <w:p w:rsidR="004F5B5B" w:rsidRDefault="00F5380C">
      <w:pPr>
        <w:spacing w:after="120"/>
        <w:jc w:val="center"/>
      </w:pPr>
      <w:r>
        <w:rPr>
          <w:rFonts w:ascii="Lato" w:eastAsia="Lato" w:hAnsi="Lato" w:cs="Lato"/>
          <w:b/>
          <w:color w:val="006699"/>
          <w:sz w:val="22"/>
          <w:szCs w:val="22"/>
        </w:rPr>
        <w:t>Annexe 1 </w:t>
      </w:r>
    </w:p>
    <w:tbl>
      <w:tblPr>
        <w:tblStyle w:val="a1"/>
        <w:tblW w:w="10374" w:type="dxa"/>
        <w:tblInd w:w="-115" w:type="dxa"/>
        <w:tblLayout w:type="fixed"/>
        <w:tblLook w:val="0000"/>
      </w:tblPr>
      <w:tblGrid>
        <w:gridCol w:w="10124"/>
        <w:gridCol w:w="250"/>
      </w:tblGrid>
      <w:tr w:rsidR="004F5B5B">
        <w:trPr>
          <w:trHeight w:val="80"/>
        </w:trPr>
        <w:tc>
          <w:tcPr>
            <w:tcW w:w="10152" w:type="dxa"/>
          </w:tcPr>
          <w:p w:rsidR="004F5B5B" w:rsidRPr="00A57625" w:rsidRDefault="00F5380C">
            <w:pPr>
              <w:ind w:right="1113"/>
              <w:jc w:val="center"/>
              <w:rPr>
                <w:lang w:val="fr-FR"/>
              </w:rPr>
            </w:pPr>
            <w:r w:rsidRPr="00A57625">
              <w:rPr>
                <w:rFonts w:ascii="Lato" w:eastAsia="Lato" w:hAnsi="Lato" w:cs="Lato"/>
                <w:b/>
                <w:color w:val="EC6325"/>
                <w:lang w:val="fr-FR"/>
              </w:rPr>
              <w:t>Coopération UMA-CEA</w:t>
            </w:r>
          </w:p>
          <w:p w:rsidR="004F5B5B" w:rsidRPr="00A57625" w:rsidRDefault="00F5380C">
            <w:pPr>
              <w:ind w:right="1113"/>
              <w:jc w:val="center"/>
              <w:rPr>
                <w:lang w:val="fr-FR"/>
              </w:rPr>
            </w:pPr>
            <w:r w:rsidRPr="00A57625">
              <w:rPr>
                <w:rFonts w:ascii="Lato" w:eastAsia="Lato" w:hAnsi="Lato" w:cs="Lato"/>
                <w:b/>
                <w:color w:val="EC6325"/>
                <w:lang w:val="fr-FR"/>
              </w:rPr>
              <w:t>Réunion de concertation et d’échange</w:t>
            </w:r>
          </w:p>
          <w:p w:rsidR="004F5B5B" w:rsidRDefault="00F5380C">
            <w:pPr>
              <w:ind w:right="1113"/>
              <w:jc w:val="center"/>
            </w:pPr>
            <w:r>
              <w:rPr>
                <w:rFonts w:ascii="Lato" w:eastAsia="Lato" w:hAnsi="Lato" w:cs="Lato"/>
                <w:b/>
                <w:color w:val="4495D1"/>
                <w:sz w:val="22"/>
                <w:szCs w:val="22"/>
              </w:rPr>
              <w:t>Rabat (Maroc) , 06 décembre 2016</w:t>
            </w:r>
          </w:p>
          <w:p w:rsidR="004F5B5B" w:rsidRDefault="004F5B5B">
            <w:pPr>
              <w:ind w:right="1113"/>
              <w:jc w:val="center"/>
            </w:pPr>
          </w:p>
          <w:p w:rsidR="004F5B5B" w:rsidRDefault="004F5B5B">
            <w:pPr>
              <w:spacing w:line="360" w:lineRule="auto"/>
              <w:ind w:right="1113"/>
              <w:jc w:val="center"/>
            </w:pPr>
          </w:p>
          <w:p w:rsidR="004F5B5B" w:rsidRDefault="00F5380C">
            <w:pPr>
              <w:spacing w:line="360" w:lineRule="auto"/>
              <w:ind w:right="1113"/>
              <w:jc w:val="center"/>
            </w:pPr>
            <w:r>
              <w:rPr>
                <w:rFonts w:ascii="Lato" w:eastAsia="Lato" w:hAnsi="Lato" w:cs="Lato"/>
                <w:b/>
              </w:rPr>
              <w:t xml:space="preserve">Agenda </w:t>
            </w:r>
          </w:p>
          <w:p w:rsidR="004F5B5B" w:rsidRDefault="004F5B5B">
            <w:pPr>
              <w:spacing w:after="120"/>
              <w:jc w:val="center"/>
            </w:pPr>
          </w:p>
          <w:tbl>
            <w:tblPr>
              <w:tblStyle w:val="a0"/>
              <w:tblW w:w="9498" w:type="dxa"/>
              <w:tblInd w:w="0" w:type="dxa"/>
              <w:tblLayout w:type="fixed"/>
              <w:tblLook w:val="0000"/>
            </w:tblPr>
            <w:tblGrid>
              <w:gridCol w:w="1816"/>
              <w:gridCol w:w="7682"/>
            </w:tblGrid>
            <w:tr w:rsidR="004F5B5B">
              <w:trPr>
                <w:trHeight w:val="400"/>
              </w:trPr>
              <w:tc>
                <w:tcPr>
                  <w:tcW w:w="1816" w:type="dxa"/>
                </w:tcPr>
                <w:p w:rsidR="004F5B5B" w:rsidRDefault="00F5380C">
                  <w:pPr>
                    <w:spacing w:after="120"/>
                    <w:jc w:val="both"/>
                  </w:pPr>
                  <w:r>
                    <w:rPr>
                      <w:rFonts w:ascii="Lato" w:eastAsia="Lato" w:hAnsi="Lato" w:cs="Lato"/>
                      <w:sz w:val="22"/>
                      <w:szCs w:val="22"/>
                    </w:rPr>
                    <w:t>09:30-10:00</w:t>
                  </w:r>
                </w:p>
              </w:tc>
              <w:tc>
                <w:tcPr>
                  <w:tcW w:w="7682" w:type="dxa"/>
                </w:tcPr>
                <w:p w:rsidR="004F5B5B" w:rsidRDefault="00F5380C">
                  <w:pPr>
                    <w:numPr>
                      <w:ilvl w:val="0"/>
                      <w:numId w:val="1"/>
                    </w:numPr>
                    <w:spacing w:after="120" w:line="276" w:lineRule="auto"/>
                    <w:ind w:hanging="360"/>
                    <w:contextualSpacing/>
                    <w:jc w:val="both"/>
                    <w:rPr>
                      <w:sz w:val="22"/>
                      <w:szCs w:val="22"/>
                    </w:rPr>
                  </w:pPr>
                  <w:r>
                    <w:rPr>
                      <w:rFonts w:ascii="Lato" w:eastAsia="Lato" w:hAnsi="Lato" w:cs="Lato"/>
                      <w:sz w:val="22"/>
                      <w:szCs w:val="22"/>
                    </w:rPr>
                    <w:t>Accueil des participants</w:t>
                  </w:r>
                </w:p>
              </w:tc>
            </w:tr>
            <w:tr w:rsidR="004F5B5B" w:rsidRPr="00A57625">
              <w:trPr>
                <w:trHeight w:val="520"/>
              </w:trPr>
              <w:tc>
                <w:tcPr>
                  <w:tcW w:w="1816" w:type="dxa"/>
                </w:tcPr>
                <w:p w:rsidR="004F5B5B" w:rsidRDefault="00F5380C">
                  <w:pPr>
                    <w:spacing w:after="120"/>
                    <w:jc w:val="both"/>
                  </w:pPr>
                  <w:r>
                    <w:rPr>
                      <w:rFonts w:ascii="Lato" w:eastAsia="Lato" w:hAnsi="Lato" w:cs="Lato"/>
                      <w:sz w:val="22"/>
                      <w:szCs w:val="22"/>
                    </w:rPr>
                    <w:t>10:00-10:30</w:t>
                  </w:r>
                </w:p>
              </w:tc>
              <w:tc>
                <w:tcPr>
                  <w:tcW w:w="7682" w:type="dxa"/>
                </w:tcPr>
                <w:p w:rsidR="004F5B5B" w:rsidRPr="00A57625" w:rsidRDefault="00F5380C">
                  <w:pPr>
                    <w:numPr>
                      <w:ilvl w:val="0"/>
                      <w:numId w:val="1"/>
                    </w:numPr>
                    <w:spacing w:line="276" w:lineRule="auto"/>
                    <w:ind w:hanging="360"/>
                    <w:contextualSpacing/>
                    <w:jc w:val="both"/>
                    <w:rPr>
                      <w:sz w:val="22"/>
                      <w:szCs w:val="22"/>
                      <w:lang w:val="fr-FR"/>
                    </w:rPr>
                  </w:pPr>
                  <w:r w:rsidRPr="00A57625">
                    <w:rPr>
                      <w:rFonts w:ascii="Lato" w:eastAsia="Lato" w:hAnsi="Lato" w:cs="Lato"/>
                      <w:sz w:val="22"/>
                      <w:szCs w:val="22"/>
                      <w:lang w:val="fr-FR"/>
                    </w:rPr>
                    <w:t>Intervention du Directeur par intérim du Bureau CEA/AN</w:t>
                  </w:r>
                </w:p>
                <w:p w:rsidR="004F5B5B" w:rsidRPr="00A57625" w:rsidRDefault="00F5380C">
                  <w:pPr>
                    <w:numPr>
                      <w:ilvl w:val="0"/>
                      <w:numId w:val="1"/>
                    </w:numPr>
                    <w:spacing w:after="120" w:line="276" w:lineRule="auto"/>
                    <w:ind w:hanging="360"/>
                    <w:contextualSpacing/>
                    <w:jc w:val="both"/>
                    <w:rPr>
                      <w:sz w:val="22"/>
                      <w:szCs w:val="22"/>
                      <w:lang w:val="fr-FR"/>
                    </w:rPr>
                  </w:pPr>
                  <w:r w:rsidRPr="00A57625">
                    <w:rPr>
                      <w:rFonts w:ascii="Lato" w:eastAsia="Lato" w:hAnsi="Lato" w:cs="Lato"/>
                      <w:sz w:val="22"/>
                      <w:szCs w:val="22"/>
                      <w:lang w:val="fr-FR"/>
                    </w:rPr>
                    <w:t>Intervention du Secrétaire Général de l’UMA</w:t>
                  </w:r>
                </w:p>
              </w:tc>
            </w:tr>
            <w:tr w:rsidR="004F5B5B">
              <w:tc>
                <w:tcPr>
                  <w:tcW w:w="1816" w:type="dxa"/>
                </w:tcPr>
                <w:p w:rsidR="004F5B5B" w:rsidRDefault="00F5380C">
                  <w:pPr>
                    <w:spacing w:after="120"/>
                    <w:jc w:val="both"/>
                  </w:pPr>
                  <w:r>
                    <w:rPr>
                      <w:rFonts w:ascii="Lato" w:eastAsia="Lato" w:hAnsi="Lato" w:cs="Lato"/>
                      <w:sz w:val="22"/>
                      <w:szCs w:val="22"/>
                    </w:rPr>
                    <w:t>10:30-11:00</w:t>
                  </w:r>
                </w:p>
                <w:p w:rsidR="004F5B5B" w:rsidRDefault="00F5380C">
                  <w:pPr>
                    <w:spacing w:after="120"/>
                    <w:jc w:val="both"/>
                  </w:pPr>
                  <w:r>
                    <w:rPr>
                      <w:rFonts w:ascii="Lato" w:eastAsia="Lato" w:hAnsi="Lato" w:cs="Lato"/>
                      <w:sz w:val="22"/>
                      <w:szCs w:val="22"/>
                    </w:rPr>
                    <w:t>11:00-11:15</w:t>
                  </w:r>
                </w:p>
              </w:tc>
              <w:tc>
                <w:tcPr>
                  <w:tcW w:w="7682" w:type="dxa"/>
                </w:tcPr>
                <w:p w:rsidR="004F5B5B" w:rsidRDefault="00F5380C">
                  <w:pPr>
                    <w:numPr>
                      <w:ilvl w:val="0"/>
                      <w:numId w:val="1"/>
                    </w:numPr>
                    <w:spacing w:line="276" w:lineRule="auto"/>
                    <w:ind w:hanging="360"/>
                    <w:contextualSpacing/>
                    <w:jc w:val="both"/>
                    <w:rPr>
                      <w:sz w:val="22"/>
                      <w:szCs w:val="22"/>
                    </w:rPr>
                  </w:pPr>
                  <w:r>
                    <w:rPr>
                      <w:rFonts w:ascii="Lato" w:eastAsia="Lato" w:hAnsi="Lato" w:cs="Lato"/>
                      <w:sz w:val="22"/>
                      <w:szCs w:val="22"/>
                    </w:rPr>
                    <w:t>Présentation du rapport d’activités 2014-2016</w:t>
                  </w:r>
                </w:p>
                <w:p w:rsidR="004F5B5B" w:rsidRDefault="00F5380C">
                  <w:pPr>
                    <w:numPr>
                      <w:ilvl w:val="0"/>
                      <w:numId w:val="1"/>
                    </w:numPr>
                    <w:spacing w:after="120" w:line="276" w:lineRule="auto"/>
                    <w:ind w:hanging="360"/>
                    <w:contextualSpacing/>
                    <w:jc w:val="both"/>
                    <w:rPr>
                      <w:i/>
                      <w:sz w:val="22"/>
                      <w:szCs w:val="22"/>
                    </w:rPr>
                  </w:pPr>
                  <w:r>
                    <w:rPr>
                      <w:rFonts w:ascii="Lato" w:eastAsia="Lato" w:hAnsi="Lato" w:cs="Lato"/>
                      <w:i/>
                      <w:sz w:val="22"/>
                      <w:szCs w:val="22"/>
                    </w:rPr>
                    <w:t>Pause-café</w:t>
                  </w:r>
                </w:p>
              </w:tc>
            </w:tr>
            <w:tr w:rsidR="004F5B5B" w:rsidRPr="00A57625">
              <w:tc>
                <w:tcPr>
                  <w:tcW w:w="1816" w:type="dxa"/>
                </w:tcPr>
                <w:p w:rsidR="004F5B5B" w:rsidRDefault="00F5380C">
                  <w:pPr>
                    <w:spacing w:after="120"/>
                    <w:jc w:val="both"/>
                  </w:pPr>
                  <w:r>
                    <w:rPr>
                      <w:rFonts w:ascii="Lato" w:eastAsia="Lato" w:hAnsi="Lato" w:cs="Lato"/>
                      <w:sz w:val="22"/>
                      <w:szCs w:val="22"/>
                    </w:rPr>
                    <w:t>11:15-12:30</w:t>
                  </w:r>
                </w:p>
              </w:tc>
              <w:tc>
                <w:tcPr>
                  <w:tcW w:w="7682" w:type="dxa"/>
                </w:tcPr>
                <w:p w:rsidR="004F5B5B" w:rsidRPr="00A57625" w:rsidRDefault="00F5380C">
                  <w:pPr>
                    <w:numPr>
                      <w:ilvl w:val="0"/>
                      <w:numId w:val="1"/>
                    </w:numPr>
                    <w:spacing w:after="120" w:line="276" w:lineRule="auto"/>
                    <w:ind w:hanging="360"/>
                    <w:contextualSpacing/>
                    <w:jc w:val="both"/>
                    <w:rPr>
                      <w:sz w:val="22"/>
                      <w:szCs w:val="22"/>
                      <w:lang w:val="fr-FR"/>
                    </w:rPr>
                  </w:pPr>
                  <w:r w:rsidRPr="00A57625">
                    <w:rPr>
                      <w:rFonts w:ascii="Lato" w:eastAsia="Lato" w:hAnsi="Lato" w:cs="Lato"/>
                      <w:sz w:val="22"/>
                      <w:szCs w:val="22"/>
                      <w:lang w:val="fr-FR"/>
                    </w:rPr>
                    <w:t xml:space="preserve">Echange sur les perspectives de collaboration UMA-CEA </w:t>
                  </w:r>
                </w:p>
              </w:tc>
            </w:tr>
            <w:tr w:rsidR="004F5B5B">
              <w:tc>
                <w:tcPr>
                  <w:tcW w:w="1816" w:type="dxa"/>
                </w:tcPr>
                <w:p w:rsidR="004F5B5B" w:rsidRDefault="00F5380C">
                  <w:pPr>
                    <w:spacing w:after="120"/>
                    <w:jc w:val="both"/>
                  </w:pPr>
                  <w:r>
                    <w:rPr>
                      <w:rFonts w:ascii="Lato" w:eastAsia="Lato" w:hAnsi="Lato" w:cs="Lato"/>
                      <w:sz w:val="22"/>
                      <w:szCs w:val="22"/>
                    </w:rPr>
                    <w:t>12:30-12:45</w:t>
                  </w:r>
                </w:p>
              </w:tc>
              <w:tc>
                <w:tcPr>
                  <w:tcW w:w="7682" w:type="dxa"/>
                </w:tcPr>
                <w:p w:rsidR="004F5B5B" w:rsidRDefault="00F5380C">
                  <w:pPr>
                    <w:numPr>
                      <w:ilvl w:val="0"/>
                      <w:numId w:val="1"/>
                    </w:numPr>
                    <w:spacing w:after="120" w:line="276" w:lineRule="auto"/>
                    <w:ind w:hanging="360"/>
                    <w:contextualSpacing/>
                    <w:jc w:val="both"/>
                    <w:rPr>
                      <w:i/>
                      <w:sz w:val="22"/>
                      <w:szCs w:val="22"/>
                    </w:rPr>
                  </w:pPr>
                  <w:r>
                    <w:rPr>
                      <w:rFonts w:ascii="Lato" w:eastAsia="Lato" w:hAnsi="Lato" w:cs="Lato"/>
                      <w:sz w:val="22"/>
                      <w:szCs w:val="22"/>
                    </w:rPr>
                    <w:t>Clôture de la réunion</w:t>
                  </w:r>
                  <w:r>
                    <w:rPr>
                      <w:rFonts w:ascii="Lato" w:eastAsia="Lato" w:hAnsi="Lato" w:cs="Lato"/>
                      <w:i/>
                      <w:sz w:val="22"/>
                      <w:szCs w:val="22"/>
                    </w:rPr>
                    <w:t xml:space="preserve"> </w:t>
                  </w:r>
                </w:p>
              </w:tc>
            </w:tr>
          </w:tbl>
          <w:p w:rsidR="004F5B5B" w:rsidRDefault="00F5380C">
            <w:pPr>
              <w:spacing w:after="120"/>
            </w:pPr>
            <w:r>
              <w:rPr>
                <w:rFonts w:ascii="Lato" w:eastAsia="Lato" w:hAnsi="Lato" w:cs="Lato"/>
                <w:sz w:val="18"/>
                <w:szCs w:val="18"/>
              </w:rPr>
              <w:t xml:space="preserve"> </w:t>
            </w:r>
          </w:p>
          <w:p w:rsidR="004F5B5B" w:rsidRDefault="004F5B5B">
            <w:pPr>
              <w:spacing w:after="120"/>
            </w:pPr>
          </w:p>
        </w:tc>
        <w:tc>
          <w:tcPr>
            <w:tcW w:w="222" w:type="dxa"/>
          </w:tcPr>
          <w:p w:rsidR="004F5B5B" w:rsidRDefault="004F5B5B">
            <w:pPr>
              <w:spacing w:after="120"/>
              <w:jc w:val="both"/>
            </w:pPr>
          </w:p>
        </w:tc>
      </w:tr>
    </w:tbl>
    <w:p w:rsidR="004F5B5B" w:rsidRDefault="004F5B5B">
      <w:pPr>
        <w:spacing w:after="120"/>
      </w:pPr>
    </w:p>
    <w:p w:rsidR="004F5B5B" w:rsidRDefault="004F5B5B">
      <w:pPr>
        <w:spacing w:after="120"/>
      </w:pPr>
    </w:p>
    <w:p w:rsidR="004F5B5B" w:rsidRDefault="00F5380C">
      <w:r>
        <w:br w:type="page"/>
      </w:r>
    </w:p>
    <w:p w:rsidR="004F5B5B" w:rsidRDefault="004F5B5B">
      <w:pPr>
        <w:spacing w:after="120"/>
      </w:pPr>
    </w:p>
    <w:p w:rsidR="004F5B5B" w:rsidRDefault="00F5380C">
      <w:pPr>
        <w:spacing w:after="120"/>
        <w:jc w:val="center"/>
      </w:pPr>
      <w:r>
        <w:rPr>
          <w:rFonts w:ascii="Lato" w:eastAsia="Lato" w:hAnsi="Lato" w:cs="Lato"/>
          <w:b/>
          <w:color w:val="006699"/>
          <w:sz w:val="22"/>
          <w:szCs w:val="22"/>
        </w:rPr>
        <w:t xml:space="preserve">Annexe 2 </w:t>
      </w:r>
    </w:p>
    <w:p w:rsidR="004F5B5B" w:rsidRPr="00A57625" w:rsidRDefault="00F5380C">
      <w:pPr>
        <w:spacing w:after="120"/>
        <w:jc w:val="center"/>
        <w:rPr>
          <w:lang w:val="fr-FR"/>
        </w:rPr>
      </w:pPr>
      <w:r w:rsidRPr="00A57625">
        <w:rPr>
          <w:rFonts w:ascii="Lato" w:eastAsia="Lato" w:hAnsi="Lato" w:cs="Lato"/>
          <w:b/>
          <w:color w:val="006699"/>
          <w:sz w:val="22"/>
          <w:szCs w:val="22"/>
          <w:lang w:val="fr-FR"/>
        </w:rPr>
        <w:t xml:space="preserve">Liste </w:t>
      </w:r>
      <w:r w:rsidR="000B65DC" w:rsidRPr="00A57625">
        <w:rPr>
          <w:rFonts w:ascii="Lato" w:eastAsia="Lato" w:hAnsi="Lato" w:cs="Lato"/>
          <w:b/>
          <w:color w:val="006699"/>
          <w:sz w:val="22"/>
          <w:szCs w:val="22"/>
          <w:lang w:val="fr-FR"/>
        </w:rPr>
        <w:t>des participants à la réunion de concerattion</w:t>
      </w:r>
    </w:p>
    <w:p w:rsidR="004F5B5B" w:rsidRPr="00A57625" w:rsidRDefault="004F5B5B">
      <w:pPr>
        <w:tabs>
          <w:tab w:val="left" w:pos="-284"/>
          <w:tab w:val="left" w:pos="426"/>
        </w:tabs>
        <w:spacing w:after="120"/>
        <w:rPr>
          <w:lang w:val="fr-FR"/>
        </w:rPr>
      </w:pPr>
    </w:p>
    <w:p w:rsidR="004F5B5B" w:rsidRPr="00A57625" w:rsidRDefault="00F662BD">
      <w:pPr>
        <w:tabs>
          <w:tab w:val="left" w:pos="-284"/>
          <w:tab w:val="left" w:pos="426"/>
        </w:tabs>
        <w:spacing w:after="120"/>
        <w:rPr>
          <w:lang w:val="fr-FR"/>
        </w:rPr>
      </w:pPr>
      <w:r w:rsidRPr="00A57625">
        <w:rPr>
          <w:rFonts w:ascii="Lato" w:eastAsia="Lato" w:hAnsi="Lato" w:cs="Lato"/>
          <w:b/>
          <w:color w:val="006699"/>
          <w:sz w:val="22"/>
          <w:szCs w:val="22"/>
          <w:lang w:val="fr-FR"/>
        </w:rPr>
        <w:t>Secrétariat Général</w:t>
      </w:r>
      <w:r w:rsidR="00F5380C" w:rsidRPr="00A57625">
        <w:rPr>
          <w:rFonts w:ascii="Lato" w:eastAsia="Lato" w:hAnsi="Lato" w:cs="Lato"/>
          <w:b/>
          <w:color w:val="006699"/>
          <w:sz w:val="22"/>
          <w:szCs w:val="22"/>
          <w:lang w:val="fr-FR"/>
        </w:rPr>
        <w:t xml:space="preserve"> de l’Union du Maghreb Arabe (UMA)</w:t>
      </w:r>
    </w:p>
    <w:p w:rsidR="004F5B5B" w:rsidRPr="00A57625" w:rsidRDefault="00F5380C">
      <w:pPr>
        <w:tabs>
          <w:tab w:val="left" w:pos="-284"/>
          <w:tab w:val="left" w:pos="426"/>
          <w:tab w:val="center" w:pos="4153"/>
          <w:tab w:val="right" w:pos="8306"/>
        </w:tabs>
        <w:spacing w:after="120"/>
        <w:rPr>
          <w:lang w:val="fr-FR"/>
        </w:rPr>
      </w:pPr>
      <w:r w:rsidRPr="00A57625">
        <w:rPr>
          <w:rFonts w:ascii="Lato" w:eastAsia="Lato" w:hAnsi="Lato" w:cs="Lato"/>
          <w:b/>
          <w:sz w:val="22"/>
          <w:szCs w:val="22"/>
          <w:lang w:val="fr-FR"/>
        </w:rPr>
        <w:tab/>
      </w:r>
    </w:p>
    <w:p w:rsidR="00F662BD" w:rsidRPr="00F662BD" w:rsidRDefault="00F5380C">
      <w:pPr>
        <w:numPr>
          <w:ilvl w:val="0"/>
          <w:numId w:val="2"/>
        </w:numPr>
        <w:tabs>
          <w:tab w:val="left" w:pos="-851"/>
          <w:tab w:val="left" w:pos="-284"/>
          <w:tab w:val="left" w:pos="426"/>
        </w:tabs>
        <w:spacing w:after="120"/>
        <w:ind w:left="0" w:firstLine="0"/>
        <w:rPr>
          <w:rFonts w:ascii="Lato" w:eastAsia="Lato" w:hAnsi="Lato" w:cs="Lato"/>
        </w:rPr>
      </w:pPr>
      <w:r>
        <w:rPr>
          <w:rFonts w:ascii="Lato" w:eastAsia="Lato" w:hAnsi="Lato" w:cs="Lato"/>
          <w:sz w:val="22"/>
          <w:szCs w:val="22"/>
        </w:rPr>
        <w:t>M. Reda El Merini</w:t>
      </w:r>
    </w:p>
    <w:p w:rsidR="00F662BD" w:rsidRDefault="00F662BD" w:rsidP="00F662BD">
      <w:pPr>
        <w:tabs>
          <w:tab w:val="left" w:pos="-851"/>
          <w:tab w:val="left" w:pos="-284"/>
          <w:tab w:val="left" w:pos="426"/>
        </w:tabs>
        <w:spacing w:after="120"/>
        <w:rPr>
          <w:rFonts w:ascii="Lato" w:eastAsia="Lato" w:hAnsi="Lato" w:cs="Lato"/>
          <w:sz w:val="22"/>
          <w:szCs w:val="22"/>
        </w:rPr>
      </w:pPr>
      <w:r>
        <w:rPr>
          <w:rFonts w:ascii="Lato" w:eastAsia="Lato" w:hAnsi="Lato" w:cs="Lato"/>
          <w:sz w:val="22"/>
          <w:szCs w:val="22"/>
        </w:rPr>
        <w:tab/>
        <w:t>Directeur des Affaires Economiques</w:t>
      </w:r>
    </w:p>
    <w:p w:rsidR="003E1663" w:rsidRPr="00F662BD" w:rsidRDefault="003E1663" w:rsidP="00F662BD">
      <w:pPr>
        <w:tabs>
          <w:tab w:val="left" w:pos="-851"/>
          <w:tab w:val="left" w:pos="-284"/>
          <w:tab w:val="left" w:pos="426"/>
        </w:tabs>
        <w:spacing w:after="120"/>
        <w:rPr>
          <w:rFonts w:ascii="Lato" w:eastAsia="Lato" w:hAnsi="Lato" w:cs="Lato"/>
        </w:rPr>
      </w:pPr>
    </w:p>
    <w:p w:rsidR="00F662BD" w:rsidRPr="00F662BD" w:rsidRDefault="00F662BD">
      <w:pPr>
        <w:numPr>
          <w:ilvl w:val="0"/>
          <w:numId w:val="2"/>
        </w:numPr>
        <w:tabs>
          <w:tab w:val="left" w:pos="-851"/>
          <w:tab w:val="left" w:pos="-284"/>
          <w:tab w:val="left" w:pos="426"/>
        </w:tabs>
        <w:spacing w:after="120"/>
        <w:ind w:left="0" w:firstLine="0"/>
        <w:rPr>
          <w:rFonts w:ascii="Lato" w:eastAsia="Lato" w:hAnsi="Lato" w:cs="Lato"/>
        </w:rPr>
      </w:pPr>
      <w:r>
        <w:rPr>
          <w:rFonts w:ascii="Lato" w:eastAsia="Lato" w:hAnsi="Lato" w:cs="Lato"/>
          <w:sz w:val="22"/>
          <w:szCs w:val="22"/>
        </w:rPr>
        <w:t xml:space="preserve">M. Mounir Benhamou </w:t>
      </w:r>
    </w:p>
    <w:p w:rsidR="004F5B5B" w:rsidRPr="00A57625" w:rsidRDefault="00F662BD" w:rsidP="00F662BD">
      <w:pPr>
        <w:tabs>
          <w:tab w:val="left" w:pos="-851"/>
          <w:tab w:val="left" w:pos="-284"/>
          <w:tab w:val="left" w:pos="426"/>
        </w:tabs>
        <w:spacing w:after="120"/>
        <w:rPr>
          <w:rFonts w:ascii="Lato" w:eastAsia="Lato" w:hAnsi="Lato" w:cs="Lato"/>
          <w:lang w:val="fr-FR"/>
        </w:rPr>
      </w:pPr>
      <w:r w:rsidRPr="00A57625">
        <w:rPr>
          <w:rFonts w:ascii="Lato" w:eastAsia="Lato" w:hAnsi="Lato" w:cs="Lato"/>
          <w:sz w:val="22"/>
          <w:szCs w:val="22"/>
          <w:lang w:val="fr-FR"/>
        </w:rPr>
        <w:tab/>
        <w:t>Directeur des Affaires Administratives et Financières</w:t>
      </w:r>
      <w:r w:rsidR="00F5380C" w:rsidRPr="00A57625">
        <w:rPr>
          <w:rFonts w:ascii="Lato" w:eastAsia="Lato" w:hAnsi="Lato" w:cs="Lato"/>
          <w:sz w:val="22"/>
          <w:szCs w:val="22"/>
          <w:lang w:val="fr-FR"/>
        </w:rPr>
        <w:br/>
        <w:t xml:space="preserve">        </w:t>
      </w:r>
    </w:p>
    <w:p w:rsidR="004F5B5B" w:rsidRDefault="00F5380C">
      <w:pPr>
        <w:numPr>
          <w:ilvl w:val="0"/>
          <w:numId w:val="2"/>
        </w:numPr>
        <w:tabs>
          <w:tab w:val="left" w:pos="-284"/>
          <w:tab w:val="left" w:pos="426"/>
        </w:tabs>
        <w:ind w:hanging="3601"/>
        <w:rPr>
          <w:rFonts w:ascii="Lato" w:eastAsia="Lato" w:hAnsi="Lato" w:cs="Lato"/>
        </w:rPr>
      </w:pPr>
      <w:r>
        <w:rPr>
          <w:rFonts w:ascii="Lato" w:eastAsia="Lato" w:hAnsi="Lato" w:cs="Lato"/>
          <w:sz w:val="22"/>
          <w:szCs w:val="22"/>
        </w:rPr>
        <w:t>M. Hassen Bouti</w:t>
      </w:r>
    </w:p>
    <w:p w:rsidR="004F5B5B" w:rsidRDefault="00F5380C">
      <w:pPr>
        <w:tabs>
          <w:tab w:val="left" w:pos="-284"/>
          <w:tab w:val="left" w:pos="426"/>
        </w:tabs>
      </w:pPr>
      <w:r>
        <w:rPr>
          <w:rFonts w:ascii="Lato" w:eastAsia="Lato" w:hAnsi="Lato" w:cs="Lato"/>
          <w:sz w:val="22"/>
          <w:szCs w:val="22"/>
        </w:rPr>
        <w:tab/>
        <w:t>Expert Division des Infrastructures</w:t>
      </w:r>
    </w:p>
    <w:p w:rsidR="004F5B5B" w:rsidRDefault="004F5B5B">
      <w:pPr>
        <w:tabs>
          <w:tab w:val="left" w:pos="-284"/>
          <w:tab w:val="left" w:pos="426"/>
        </w:tabs>
        <w:spacing w:after="120"/>
      </w:pPr>
    </w:p>
    <w:p w:rsidR="004F5B5B" w:rsidRDefault="00F5380C">
      <w:pPr>
        <w:numPr>
          <w:ilvl w:val="0"/>
          <w:numId w:val="2"/>
        </w:numPr>
        <w:tabs>
          <w:tab w:val="left" w:pos="-284"/>
          <w:tab w:val="left" w:pos="426"/>
        </w:tabs>
        <w:ind w:hanging="3601"/>
        <w:rPr>
          <w:rFonts w:ascii="Lato" w:eastAsia="Lato" w:hAnsi="Lato" w:cs="Lato"/>
        </w:rPr>
      </w:pPr>
      <w:r>
        <w:rPr>
          <w:rFonts w:ascii="Lato" w:eastAsia="Lato" w:hAnsi="Lato" w:cs="Lato"/>
          <w:sz w:val="22"/>
          <w:szCs w:val="22"/>
        </w:rPr>
        <w:t>M. Zahreddine Belbachir</w:t>
      </w:r>
    </w:p>
    <w:p w:rsidR="004F5B5B" w:rsidRDefault="00F5380C">
      <w:r>
        <w:rPr>
          <w:rFonts w:ascii="Lato" w:eastAsia="Lato" w:hAnsi="Lato" w:cs="Lato"/>
          <w:sz w:val="22"/>
          <w:szCs w:val="22"/>
        </w:rPr>
        <w:t xml:space="preserve">       Expert Division des Affaires Economiques</w:t>
      </w:r>
    </w:p>
    <w:p w:rsidR="004F5B5B" w:rsidRDefault="004F5B5B">
      <w:pPr>
        <w:tabs>
          <w:tab w:val="left" w:pos="-284"/>
          <w:tab w:val="left" w:pos="426"/>
        </w:tabs>
        <w:spacing w:after="120"/>
        <w:ind w:left="3601"/>
      </w:pPr>
    </w:p>
    <w:p w:rsidR="004F5B5B" w:rsidRPr="00A57625" w:rsidRDefault="00F5380C">
      <w:pPr>
        <w:tabs>
          <w:tab w:val="left" w:pos="-284"/>
          <w:tab w:val="left" w:pos="426"/>
        </w:tabs>
        <w:spacing w:after="120"/>
        <w:rPr>
          <w:lang w:val="fr-FR"/>
        </w:rPr>
      </w:pPr>
      <w:r w:rsidRPr="00A57625">
        <w:rPr>
          <w:rFonts w:ascii="Lato" w:eastAsia="Lato" w:hAnsi="Lato" w:cs="Lato"/>
          <w:b/>
          <w:color w:val="006699"/>
          <w:sz w:val="22"/>
          <w:szCs w:val="22"/>
          <w:lang w:val="fr-FR"/>
        </w:rPr>
        <w:t xml:space="preserve">Bureau de la CEA pour l’Afrique du Nord </w:t>
      </w:r>
      <w:r w:rsidRPr="00A57625">
        <w:rPr>
          <w:rFonts w:ascii="Lato" w:eastAsia="Lato" w:hAnsi="Lato" w:cs="Lato"/>
          <w:b/>
          <w:color w:val="006699"/>
          <w:sz w:val="22"/>
          <w:szCs w:val="22"/>
          <w:lang w:val="fr-FR"/>
        </w:rPr>
        <w:br/>
      </w:r>
    </w:p>
    <w:p w:rsidR="004F5B5B" w:rsidRDefault="00F5380C">
      <w:pPr>
        <w:numPr>
          <w:ilvl w:val="0"/>
          <w:numId w:val="2"/>
        </w:numPr>
        <w:tabs>
          <w:tab w:val="left" w:pos="-851"/>
          <w:tab w:val="left" w:pos="-284"/>
          <w:tab w:val="left" w:pos="426"/>
        </w:tabs>
        <w:ind w:left="0" w:firstLine="0"/>
        <w:rPr>
          <w:rFonts w:ascii="Lato" w:eastAsia="Lato" w:hAnsi="Lato" w:cs="Lato"/>
        </w:rPr>
      </w:pPr>
      <w:r>
        <w:rPr>
          <w:rFonts w:ascii="Lato" w:eastAsia="Lato" w:hAnsi="Lato" w:cs="Lato"/>
          <w:sz w:val="22"/>
          <w:szCs w:val="22"/>
        </w:rPr>
        <w:t>M. Omar Ismael Abdourahman</w:t>
      </w:r>
    </w:p>
    <w:p w:rsidR="004F5B5B" w:rsidRDefault="00F5380C">
      <w:pPr>
        <w:tabs>
          <w:tab w:val="left" w:pos="-851"/>
          <w:tab w:val="left" w:pos="-284"/>
          <w:tab w:val="left" w:pos="426"/>
        </w:tabs>
      </w:pPr>
      <w:r>
        <w:rPr>
          <w:rFonts w:ascii="Lato" w:eastAsia="Lato" w:hAnsi="Lato" w:cs="Lato"/>
          <w:sz w:val="22"/>
          <w:szCs w:val="22"/>
        </w:rPr>
        <w:tab/>
        <w:t>Directeur par intérim</w:t>
      </w:r>
    </w:p>
    <w:p w:rsidR="004F5B5B" w:rsidRDefault="004F5B5B">
      <w:pPr>
        <w:tabs>
          <w:tab w:val="left" w:pos="-284"/>
          <w:tab w:val="left" w:pos="426"/>
        </w:tabs>
        <w:spacing w:after="120"/>
      </w:pPr>
    </w:p>
    <w:p w:rsidR="004F5B5B" w:rsidRDefault="00F5380C">
      <w:pPr>
        <w:numPr>
          <w:ilvl w:val="0"/>
          <w:numId w:val="2"/>
        </w:numPr>
        <w:tabs>
          <w:tab w:val="left" w:pos="-284"/>
          <w:tab w:val="left" w:pos="426"/>
        </w:tabs>
        <w:ind w:hanging="3601"/>
        <w:rPr>
          <w:rFonts w:ascii="Lato" w:eastAsia="Lato" w:hAnsi="Lato" w:cs="Lato"/>
        </w:rPr>
      </w:pPr>
      <w:r>
        <w:rPr>
          <w:rFonts w:ascii="Lato" w:eastAsia="Lato" w:hAnsi="Lato" w:cs="Lato"/>
          <w:sz w:val="22"/>
          <w:szCs w:val="22"/>
        </w:rPr>
        <w:t>M. Ochozias Gbaguidi</w:t>
      </w:r>
    </w:p>
    <w:p w:rsidR="004F5B5B" w:rsidRPr="00A57625" w:rsidRDefault="00F5380C">
      <w:pPr>
        <w:tabs>
          <w:tab w:val="left" w:pos="-284"/>
          <w:tab w:val="left" w:pos="426"/>
        </w:tabs>
        <w:rPr>
          <w:lang w:val="fr-FR"/>
        </w:rPr>
      </w:pPr>
      <w:r w:rsidRPr="00A57625">
        <w:rPr>
          <w:rFonts w:ascii="Lato" w:eastAsia="Lato" w:hAnsi="Lato" w:cs="Lato"/>
          <w:sz w:val="22"/>
          <w:szCs w:val="22"/>
          <w:lang w:val="fr-FR"/>
        </w:rPr>
        <w:tab/>
        <w:t>Chef de section Initiatives sous régionales</w:t>
      </w:r>
    </w:p>
    <w:p w:rsidR="004F5B5B" w:rsidRPr="00A57625" w:rsidRDefault="004F5B5B">
      <w:pPr>
        <w:tabs>
          <w:tab w:val="left" w:pos="-851"/>
          <w:tab w:val="left" w:pos="-284"/>
          <w:tab w:val="left" w:pos="426"/>
        </w:tabs>
        <w:rPr>
          <w:lang w:val="fr-FR"/>
        </w:rPr>
      </w:pPr>
    </w:p>
    <w:p w:rsidR="004F5B5B" w:rsidRDefault="00F5380C">
      <w:pPr>
        <w:numPr>
          <w:ilvl w:val="0"/>
          <w:numId w:val="2"/>
        </w:numPr>
        <w:tabs>
          <w:tab w:val="left" w:pos="-851"/>
          <w:tab w:val="left" w:pos="-284"/>
          <w:tab w:val="left" w:pos="426"/>
        </w:tabs>
        <w:ind w:left="0" w:firstLine="0"/>
        <w:rPr>
          <w:rFonts w:ascii="Lato" w:eastAsia="Lato" w:hAnsi="Lato" w:cs="Lato"/>
        </w:rPr>
      </w:pPr>
      <w:r>
        <w:rPr>
          <w:rFonts w:ascii="Lato" w:eastAsia="Lato" w:hAnsi="Lato" w:cs="Lato"/>
          <w:sz w:val="22"/>
          <w:szCs w:val="22"/>
        </w:rPr>
        <w:t>Mme Amal Elbeshbishi</w:t>
      </w:r>
    </w:p>
    <w:p w:rsidR="004F5B5B" w:rsidRDefault="00F5380C">
      <w:pPr>
        <w:tabs>
          <w:tab w:val="left" w:pos="-284"/>
          <w:tab w:val="left" w:pos="426"/>
        </w:tabs>
      </w:pPr>
      <w:r>
        <w:rPr>
          <w:rFonts w:ascii="Lato" w:eastAsia="Lato" w:hAnsi="Lato" w:cs="Lato"/>
          <w:sz w:val="22"/>
          <w:szCs w:val="22"/>
        </w:rPr>
        <w:tab/>
        <w:t>Economiste</w:t>
      </w:r>
    </w:p>
    <w:p w:rsidR="004F5B5B" w:rsidRDefault="004F5B5B">
      <w:pPr>
        <w:tabs>
          <w:tab w:val="left" w:pos="-851"/>
          <w:tab w:val="left" w:pos="-284"/>
          <w:tab w:val="left" w:pos="426"/>
        </w:tabs>
      </w:pPr>
    </w:p>
    <w:p w:rsidR="004F5B5B" w:rsidRDefault="00F5380C">
      <w:pPr>
        <w:numPr>
          <w:ilvl w:val="0"/>
          <w:numId w:val="2"/>
        </w:numPr>
        <w:tabs>
          <w:tab w:val="left" w:pos="-851"/>
          <w:tab w:val="left" w:pos="-284"/>
          <w:tab w:val="left" w:pos="426"/>
        </w:tabs>
        <w:ind w:left="0" w:firstLine="0"/>
        <w:rPr>
          <w:rFonts w:ascii="Lato" w:eastAsia="Lato" w:hAnsi="Lato" w:cs="Lato"/>
        </w:rPr>
      </w:pPr>
      <w:r>
        <w:rPr>
          <w:rFonts w:ascii="Lato" w:eastAsia="Lato" w:hAnsi="Lato" w:cs="Lato"/>
          <w:sz w:val="22"/>
          <w:szCs w:val="22"/>
        </w:rPr>
        <w:t>Mme Marieme Bekkaye</w:t>
      </w:r>
    </w:p>
    <w:p w:rsidR="004F5B5B" w:rsidRDefault="00F5380C">
      <w:pPr>
        <w:tabs>
          <w:tab w:val="left" w:pos="-851"/>
          <w:tab w:val="left" w:pos="-284"/>
          <w:tab w:val="left" w:pos="426"/>
        </w:tabs>
      </w:pPr>
      <w:r>
        <w:rPr>
          <w:rFonts w:ascii="Lato" w:eastAsia="Lato" w:hAnsi="Lato" w:cs="Lato"/>
          <w:sz w:val="22"/>
          <w:szCs w:val="22"/>
        </w:rPr>
        <w:tab/>
        <w:t>Economiste/Responsable Développement Durable</w:t>
      </w:r>
    </w:p>
    <w:p w:rsidR="004F5B5B" w:rsidRDefault="004F5B5B">
      <w:pPr>
        <w:tabs>
          <w:tab w:val="left" w:pos="-851"/>
          <w:tab w:val="left" w:pos="-284"/>
          <w:tab w:val="left" w:pos="426"/>
        </w:tabs>
      </w:pPr>
    </w:p>
    <w:p w:rsidR="004F5B5B" w:rsidRDefault="00F5380C">
      <w:pPr>
        <w:numPr>
          <w:ilvl w:val="0"/>
          <w:numId w:val="2"/>
        </w:numPr>
        <w:tabs>
          <w:tab w:val="left" w:pos="-851"/>
          <w:tab w:val="left" w:pos="-284"/>
          <w:tab w:val="left" w:pos="426"/>
        </w:tabs>
        <w:ind w:left="0" w:firstLine="0"/>
        <w:rPr>
          <w:rFonts w:ascii="Lato" w:eastAsia="Lato" w:hAnsi="Lato" w:cs="Lato"/>
        </w:rPr>
      </w:pPr>
      <w:r>
        <w:rPr>
          <w:rFonts w:ascii="Lato" w:eastAsia="Lato" w:hAnsi="Lato" w:cs="Lato"/>
          <w:sz w:val="22"/>
          <w:szCs w:val="22"/>
        </w:rPr>
        <w:t>M. Isidore Kahoui</w:t>
      </w:r>
    </w:p>
    <w:p w:rsidR="004F5B5B" w:rsidRDefault="00F5380C">
      <w:pPr>
        <w:tabs>
          <w:tab w:val="left" w:pos="-851"/>
          <w:tab w:val="left" w:pos="-284"/>
          <w:tab w:val="left" w:pos="426"/>
        </w:tabs>
      </w:pPr>
      <w:r>
        <w:rPr>
          <w:rFonts w:ascii="Lato" w:eastAsia="Lato" w:hAnsi="Lato" w:cs="Lato"/>
          <w:sz w:val="22"/>
          <w:szCs w:val="22"/>
        </w:rPr>
        <w:tab/>
        <w:t>Economiste/Statisticien</w:t>
      </w:r>
    </w:p>
    <w:p w:rsidR="004F5B5B" w:rsidRDefault="004F5B5B">
      <w:pPr>
        <w:tabs>
          <w:tab w:val="left" w:pos="-851"/>
          <w:tab w:val="left" w:pos="-284"/>
          <w:tab w:val="left" w:pos="426"/>
        </w:tabs>
      </w:pPr>
    </w:p>
    <w:p w:rsidR="004F5B5B" w:rsidRDefault="00F5380C">
      <w:pPr>
        <w:numPr>
          <w:ilvl w:val="0"/>
          <w:numId w:val="2"/>
        </w:numPr>
        <w:tabs>
          <w:tab w:val="left" w:pos="-851"/>
          <w:tab w:val="left" w:pos="-284"/>
          <w:tab w:val="left" w:pos="426"/>
        </w:tabs>
        <w:ind w:left="0" w:firstLine="0"/>
        <w:rPr>
          <w:rFonts w:ascii="Lato" w:eastAsia="Lato" w:hAnsi="Lato" w:cs="Lato"/>
        </w:rPr>
      </w:pPr>
      <w:r>
        <w:rPr>
          <w:rFonts w:ascii="Lato" w:eastAsia="Lato" w:hAnsi="Lato" w:cs="Lato"/>
          <w:sz w:val="22"/>
          <w:szCs w:val="22"/>
        </w:rPr>
        <w:t xml:space="preserve">M. Aziz Jaid </w:t>
      </w:r>
    </w:p>
    <w:p w:rsidR="004F5B5B" w:rsidRDefault="00F5380C">
      <w:r>
        <w:rPr>
          <w:rFonts w:ascii="Lato" w:eastAsia="Lato" w:hAnsi="Lato" w:cs="Lato"/>
          <w:sz w:val="22"/>
          <w:szCs w:val="22"/>
        </w:rPr>
        <w:t xml:space="preserve">       Economiste Adjoint</w:t>
      </w:r>
    </w:p>
    <w:p w:rsidR="004F5B5B" w:rsidRDefault="004F5B5B">
      <w:pPr>
        <w:tabs>
          <w:tab w:val="left" w:pos="-851"/>
          <w:tab w:val="left" w:pos="-284"/>
          <w:tab w:val="left" w:pos="426"/>
        </w:tabs>
      </w:pPr>
    </w:p>
    <w:p w:rsidR="004F5B5B" w:rsidRDefault="00F5380C">
      <w:pPr>
        <w:numPr>
          <w:ilvl w:val="0"/>
          <w:numId w:val="2"/>
        </w:numPr>
        <w:tabs>
          <w:tab w:val="left" w:pos="-851"/>
          <w:tab w:val="left" w:pos="-284"/>
          <w:tab w:val="left" w:pos="426"/>
        </w:tabs>
        <w:ind w:left="0" w:firstLine="0"/>
        <w:rPr>
          <w:rFonts w:ascii="Lato" w:eastAsia="Lato" w:hAnsi="Lato" w:cs="Lato"/>
        </w:rPr>
      </w:pPr>
      <w:r>
        <w:rPr>
          <w:rFonts w:ascii="Lato" w:eastAsia="Lato" w:hAnsi="Lato" w:cs="Lato"/>
          <w:sz w:val="22"/>
          <w:szCs w:val="22"/>
        </w:rPr>
        <w:t>Mme Houda Fillaly-Ansary</w:t>
      </w:r>
    </w:p>
    <w:p w:rsidR="004F5B5B" w:rsidRDefault="00F5380C">
      <w:pPr>
        <w:tabs>
          <w:tab w:val="left" w:pos="-851"/>
          <w:tab w:val="left" w:pos="-284"/>
          <w:tab w:val="left" w:pos="426"/>
        </w:tabs>
      </w:pPr>
      <w:r>
        <w:rPr>
          <w:rFonts w:ascii="Lato" w:eastAsia="Lato" w:hAnsi="Lato" w:cs="Lato"/>
          <w:sz w:val="22"/>
          <w:szCs w:val="22"/>
        </w:rPr>
        <w:tab/>
        <w:t>Responsable Communication</w:t>
      </w:r>
    </w:p>
    <w:p w:rsidR="004F5B5B" w:rsidRDefault="004F5B5B">
      <w:pPr>
        <w:tabs>
          <w:tab w:val="left" w:pos="-851"/>
          <w:tab w:val="left" w:pos="-284"/>
          <w:tab w:val="left" w:pos="426"/>
        </w:tabs>
      </w:pPr>
    </w:p>
    <w:p w:rsidR="004F5B5B" w:rsidRDefault="00F5380C">
      <w:pPr>
        <w:numPr>
          <w:ilvl w:val="0"/>
          <w:numId w:val="2"/>
        </w:numPr>
        <w:tabs>
          <w:tab w:val="left" w:pos="-851"/>
          <w:tab w:val="left" w:pos="-284"/>
          <w:tab w:val="left" w:pos="426"/>
        </w:tabs>
        <w:ind w:left="0" w:firstLine="0"/>
        <w:rPr>
          <w:rFonts w:ascii="Lato" w:eastAsia="Lato" w:hAnsi="Lato" w:cs="Lato"/>
        </w:rPr>
      </w:pPr>
      <w:r>
        <w:rPr>
          <w:rFonts w:ascii="Lato" w:eastAsia="Lato" w:hAnsi="Lato" w:cs="Lato"/>
          <w:sz w:val="22"/>
          <w:szCs w:val="22"/>
        </w:rPr>
        <w:t>M. Mohammed Mosseddek</w:t>
      </w:r>
    </w:p>
    <w:p w:rsidR="004F5B5B" w:rsidRDefault="00F5380C">
      <w:pPr>
        <w:tabs>
          <w:tab w:val="left" w:pos="-851"/>
          <w:tab w:val="left" w:pos="-284"/>
          <w:tab w:val="left" w:pos="426"/>
        </w:tabs>
        <w:spacing w:after="120"/>
      </w:pPr>
      <w:r>
        <w:rPr>
          <w:rFonts w:ascii="Lato" w:eastAsia="Lato" w:hAnsi="Lato" w:cs="Lato"/>
          <w:sz w:val="22"/>
          <w:szCs w:val="22"/>
        </w:rPr>
        <w:tab/>
        <w:t>Assistant de recherche principal</w:t>
      </w:r>
    </w:p>
    <w:p w:rsidR="004F5B5B" w:rsidRDefault="004F5B5B">
      <w:pPr>
        <w:tabs>
          <w:tab w:val="left" w:pos="-851"/>
          <w:tab w:val="left" w:pos="-284"/>
          <w:tab w:val="left" w:pos="426"/>
        </w:tabs>
        <w:spacing w:after="120"/>
      </w:pPr>
    </w:p>
    <w:sectPr w:rsidR="004F5B5B" w:rsidSect="00DF7E22">
      <w:type w:val="continuous"/>
      <w:pgSz w:w="11906" w:h="16838"/>
      <w:pgMar w:top="1417" w:right="1417" w:bottom="1417" w:left="1417"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052E" w:rsidRDefault="005E052E">
      <w:r>
        <w:separator/>
      </w:r>
    </w:p>
  </w:endnote>
  <w:endnote w:type="continuationSeparator" w:id="0">
    <w:p w:rsidR="005E052E" w:rsidRDefault="005E052E">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elleza">
    <w:charset w:val="00"/>
    <w:family w:val="auto"/>
    <w:pitch w:val="default"/>
    <w:sig w:usb0="00000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ato">
    <w:panose1 w:val="020F0502020204030203"/>
    <w:charset w:val="00"/>
    <w:family w:val="swiss"/>
    <w:pitch w:val="variable"/>
    <w:sig w:usb0="E10002FF" w:usb1="5000ECFF" w:usb2="00000021"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5B5B" w:rsidRDefault="00DF7E22">
    <w:pPr>
      <w:tabs>
        <w:tab w:val="center" w:pos="4536"/>
        <w:tab w:val="right" w:pos="9072"/>
      </w:tabs>
      <w:spacing w:after="708"/>
      <w:jc w:val="center"/>
    </w:pPr>
    <w:r>
      <w:fldChar w:fldCharType="begin"/>
    </w:r>
    <w:r w:rsidR="00F5380C">
      <w:instrText>PAGE</w:instrText>
    </w:r>
    <w:r>
      <w:fldChar w:fldCharType="separate"/>
    </w:r>
    <w:r w:rsidR="00A57625">
      <w:rPr>
        <w:noProof/>
      </w:rPr>
      <w:t>4</w:t>
    </w:r>
    <w:r>
      <w:fldChar w:fldCharType="end"/>
    </w:r>
  </w:p>
  <w:p w:rsidR="004F5B5B" w:rsidRDefault="004F5B5B">
    <w:pPr>
      <w:tabs>
        <w:tab w:val="center" w:pos="4536"/>
        <w:tab w:val="right" w:pos="9072"/>
      </w:tabs>
      <w:spacing w:after="70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052E" w:rsidRDefault="005E052E">
      <w:r>
        <w:separator/>
      </w:r>
    </w:p>
  </w:footnote>
  <w:footnote w:type="continuationSeparator" w:id="0">
    <w:p w:rsidR="005E052E" w:rsidRDefault="005E05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064EA"/>
    <w:multiLevelType w:val="multilevel"/>
    <w:tmpl w:val="41B63E6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1EC77FDA"/>
    <w:multiLevelType w:val="multilevel"/>
    <w:tmpl w:val="2ED05E4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nsid w:val="2BE11CC5"/>
    <w:multiLevelType w:val="multilevel"/>
    <w:tmpl w:val="B8FA034C"/>
    <w:lvl w:ilvl="0">
      <w:start w:val="1"/>
      <w:numFmt w:val="bullet"/>
      <w:lvlText w:val="-"/>
      <w:lvlJc w:val="left"/>
      <w:pPr>
        <w:ind w:left="1440" w:firstLine="108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nsid w:val="2D100729"/>
    <w:multiLevelType w:val="multilevel"/>
    <w:tmpl w:val="9E5A54B2"/>
    <w:lvl w:ilvl="0">
      <w:start w:val="1"/>
      <w:numFmt w:val="decimal"/>
      <w:lvlText w:val="%1."/>
      <w:lvlJc w:val="left"/>
      <w:pPr>
        <w:ind w:left="720" w:firstLine="360"/>
      </w:pPr>
      <w:rPr>
        <w:b/>
      </w:rPr>
    </w:lvl>
    <w:lvl w:ilvl="1">
      <w:start w:val="1"/>
      <w:numFmt w:val="decimal"/>
      <w:lvlText w:val="%2.1."/>
      <w:lvlJc w:val="left"/>
      <w:pPr>
        <w:ind w:left="780" w:firstLine="360"/>
      </w:pPr>
    </w:lvl>
    <w:lvl w:ilvl="2">
      <w:start w:val="1"/>
      <w:numFmt w:val="decimal"/>
      <w:lvlText w:val="%1.%2.%3"/>
      <w:lvlJc w:val="left"/>
      <w:pPr>
        <w:ind w:left="1080" w:firstLine="360"/>
      </w:pPr>
    </w:lvl>
    <w:lvl w:ilvl="3">
      <w:start w:val="1"/>
      <w:numFmt w:val="decimal"/>
      <w:lvlText w:val="%1.%2.%3.%4"/>
      <w:lvlJc w:val="left"/>
      <w:pPr>
        <w:ind w:left="1440" w:firstLine="360"/>
      </w:pPr>
    </w:lvl>
    <w:lvl w:ilvl="4">
      <w:start w:val="1"/>
      <w:numFmt w:val="decimal"/>
      <w:lvlText w:val="%1.%2.%3.%4.%5"/>
      <w:lvlJc w:val="left"/>
      <w:pPr>
        <w:ind w:left="1440" w:firstLine="360"/>
      </w:pPr>
    </w:lvl>
    <w:lvl w:ilvl="5">
      <w:start w:val="1"/>
      <w:numFmt w:val="decimal"/>
      <w:lvlText w:val="%1.%2.%3.%4.%5.%6"/>
      <w:lvlJc w:val="left"/>
      <w:pPr>
        <w:ind w:left="1800" w:firstLine="360"/>
      </w:pPr>
    </w:lvl>
    <w:lvl w:ilvl="6">
      <w:start w:val="1"/>
      <w:numFmt w:val="decimal"/>
      <w:lvlText w:val="%1.%2.%3.%4.%5.%6.%7"/>
      <w:lvlJc w:val="left"/>
      <w:pPr>
        <w:ind w:left="1800" w:firstLine="360"/>
      </w:pPr>
    </w:lvl>
    <w:lvl w:ilvl="7">
      <w:start w:val="1"/>
      <w:numFmt w:val="decimal"/>
      <w:lvlText w:val="%1.%2.%3.%4.%5.%6.%7.%8"/>
      <w:lvlJc w:val="left"/>
      <w:pPr>
        <w:ind w:left="2160" w:firstLine="360"/>
      </w:pPr>
    </w:lvl>
    <w:lvl w:ilvl="8">
      <w:start w:val="1"/>
      <w:numFmt w:val="decimal"/>
      <w:lvlText w:val="%1.%2.%3.%4.%5.%6.%7.%8.%9"/>
      <w:lvlJc w:val="left"/>
      <w:pPr>
        <w:ind w:left="2160" w:firstLine="360"/>
      </w:pPr>
    </w:lvl>
  </w:abstractNum>
  <w:abstractNum w:abstractNumId="4">
    <w:nsid w:val="47BA67D9"/>
    <w:multiLevelType w:val="multilevel"/>
    <w:tmpl w:val="649E6128"/>
    <w:lvl w:ilvl="0">
      <w:start w:val="3"/>
      <w:numFmt w:val="decimal"/>
      <w:lvlText w:val="%1."/>
      <w:lvlJc w:val="left"/>
      <w:pPr>
        <w:ind w:left="720" w:firstLine="360"/>
      </w:pPr>
      <w:rPr>
        <w:b/>
      </w:rPr>
    </w:lvl>
    <w:lvl w:ilvl="1">
      <w:start w:val="3"/>
      <w:numFmt w:val="decimal"/>
      <w:lvlText w:val="%2.4."/>
      <w:lvlJc w:val="left"/>
      <w:pPr>
        <w:ind w:left="780" w:firstLine="360"/>
      </w:pPr>
    </w:lvl>
    <w:lvl w:ilvl="2">
      <w:start w:val="1"/>
      <w:numFmt w:val="decimal"/>
      <w:lvlText w:val="%1.%2.%3"/>
      <w:lvlJc w:val="left"/>
      <w:pPr>
        <w:ind w:left="1080" w:firstLine="360"/>
      </w:pPr>
    </w:lvl>
    <w:lvl w:ilvl="3">
      <w:start w:val="1"/>
      <w:numFmt w:val="decimal"/>
      <w:lvlText w:val="%1.%2.%3.%4"/>
      <w:lvlJc w:val="left"/>
      <w:pPr>
        <w:ind w:left="1440" w:firstLine="360"/>
      </w:pPr>
    </w:lvl>
    <w:lvl w:ilvl="4">
      <w:start w:val="1"/>
      <w:numFmt w:val="decimal"/>
      <w:lvlText w:val="%1.%2.%3.%4.%5"/>
      <w:lvlJc w:val="left"/>
      <w:pPr>
        <w:ind w:left="1440" w:firstLine="360"/>
      </w:pPr>
    </w:lvl>
    <w:lvl w:ilvl="5">
      <w:start w:val="1"/>
      <w:numFmt w:val="decimal"/>
      <w:lvlText w:val="%1.%2.%3.%4.%5.%6"/>
      <w:lvlJc w:val="left"/>
      <w:pPr>
        <w:ind w:left="1800" w:firstLine="360"/>
      </w:pPr>
    </w:lvl>
    <w:lvl w:ilvl="6">
      <w:start w:val="1"/>
      <w:numFmt w:val="decimal"/>
      <w:lvlText w:val="%1.%2.%3.%4.%5.%6.%7"/>
      <w:lvlJc w:val="left"/>
      <w:pPr>
        <w:ind w:left="1800" w:firstLine="360"/>
      </w:pPr>
    </w:lvl>
    <w:lvl w:ilvl="7">
      <w:start w:val="1"/>
      <w:numFmt w:val="decimal"/>
      <w:lvlText w:val="%1.%2.%3.%4.%5.%6.%7.%8"/>
      <w:lvlJc w:val="left"/>
      <w:pPr>
        <w:ind w:left="2160" w:firstLine="360"/>
      </w:pPr>
    </w:lvl>
    <w:lvl w:ilvl="8">
      <w:start w:val="1"/>
      <w:numFmt w:val="decimal"/>
      <w:lvlText w:val="%1.%2.%3.%4.%5.%6.%7.%8.%9"/>
      <w:lvlJc w:val="left"/>
      <w:pPr>
        <w:ind w:left="2160" w:firstLine="360"/>
      </w:pPr>
    </w:lvl>
  </w:abstractNum>
  <w:abstractNum w:abstractNumId="5">
    <w:nsid w:val="4BD56DF6"/>
    <w:multiLevelType w:val="multilevel"/>
    <w:tmpl w:val="7BCA8556"/>
    <w:lvl w:ilvl="0">
      <w:start w:val="3"/>
      <w:numFmt w:val="decimal"/>
      <w:lvlText w:val="%1."/>
      <w:lvlJc w:val="left"/>
      <w:pPr>
        <w:ind w:left="720" w:firstLine="360"/>
      </w:pPr>
      <w:rPr>
        <w:b/>
      </w:rPr>
    </w:lvl>
    <w:lvl w:ilvl="1">
      <w:start w:val="3"/>
      <w:numFmt w:val="decimal"/>
      <w:lvlText w:val="%2.1."/>
      <w:lvlJc w:val="left"/>
      <w:pPr>
        <w:ind w:left="780" w:firstLine="360"/>
      </w:pPr>
    </w:lvl>
    <w:lvl w:ilvl="2">
      <w:start w:val="1"/>
      <w:numFmt w:val="decimal"/>
      <w:lvlText w:val="%1.%2.%3"/>
      <w:lvlJc w:val="left"/>
      <w:pPr>
        <w:ind w:left="1080" w:firstLine="360"/>
      </w:pPr>
    </w:lvl>
    <w:lvl w:ilvl="3">
      <w:start w:val="1"/>
      <w:numFmt w:val="decimal"/>
      <w:lvlText w:val="%1.%2.%3.%4"/>
      <w:lvlJc w:val="left"/>
      <w:pPr>
        <w:ind w:left="1440" w:firstLine="360"/>
      </w:pPr>
    </w:lvl>
    <w:lvl w:ilvl="4">
      <w:start w:val="1"/>
      <w:numFmt w:val="decimal"/>
      <w:lvlText w:val="%1.%2.%3.%4.%5"/>
      <w:lvlJc w:val="left"/>
      <w:pPr>
        <w:ind w:left="1440" w:firstLine="360"/>
      </w:pPr>
    </w:lvl>
    <w:lvl w:ilvl="5">
      <w:start w:val="1"/>
      <w:numFmt w:val="decimal"/>
      <w:lvlText w:val="%1.%2.%3.%4.%5.%6"/>
      <w:lvlJc w:val="left"/>
      <w:pPr>
        <w:ind w:left="1800" w:firstLine="360"/>
      </w:pPr>
    </w:lvl>
    <w:lvl w:ilvl="6">
      <w:start w:val="1"/>
      <w:numFmt w:val="decimal"/>
      <w:lvlText w:val="%1.%2.%3.%4.%5.%6.%7"/>
      <w:lvlJc w:val="left"/>
      <w:pPr>
        <w:ind w:left="1800" w:firstLine="360"/>
      </w:pPr>
    </w:lvl>
    <w:lvl w:ilvl="7">
      <w:start w:val="1"/>
      <w:numFmt w:val="decimal"/>
      <w:lvlText w:val="%1.%2.%3.%4.%5.%6.%7.%8"/>
      <w:lvlJc w:val="left"/>
      <w:pPr>
        <w:ind w:left="2160" w:firstLine="360"/>
      </w:pPr>
    </w:lvl>
    <w:lvl w:ilvl="8">
      <w:start w:val="1"/>
      <w:numFmt w:val="decimal"/>
      <w:lvlText w:val="%1.%2.%3.%4.%5.%6.%7.%8.%9"/>
      <w:lvlJc w:val="left"/>
      <w:pPr>
        <w:ind w:left="2160" w:firstLine="360"/>
      </w:pPr>
    </w:lvl>
  </w:abstractNum>
  <w:abstractNum w:abstractNumId="6">
    <w:nsid w:val="67090B7C"/>
    <w:multiLevelType w:val="multilevel"/>
    <w:tmpl w:val="7CD2162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nsid w:val="6F2A6F2A"/>
    <w:multiLevelType w:val="multilevel"/>
    <w:tmpl w:val="F4224AD8"/>
    <w:lvl w:ilvl="0">
      <w:start w:val="3"/>
      <w:numFmt w:val="decimal"/>
      <w:lvlText w:val="%1."/>
      <w:lvlJc w:val="left"/>
      <w:pPr>
        <w:ind w:left="720" w:firstLine="360"/>
      </w:pPr>
      <w:rPr>
        <w:b/>
      </w:rPr>
    </w:lvl>
    <w:lvl w:ilvl="1">
      <w:start w:val="3"/>
      <w:numFmt w:val="decimal"/>
      <w:lvlText w:val="%2.3."/>
      <w:lvlJc w:val="left"/>
      <w:pPr>
        <w:ind w:left="780" w:firstLine="360"/>
      </w:pPr>
    </w:lvl>
    <w:lvl w:ilvl="2">
      <w:start w:val="1"/>
      <w:numFmt w:val="decimal"/>
      <w:lvlText w:val="%1.%2.%3"/>
      <w:lvlJc w:val="left"/>
      <w:pPr>
        <w:ind w:left="1080" w:firstLine="360"/>
      </w:pPr>
    </w:lvl>
    <w:lvl w:ilvl="3">
      <w:start w:val="1"/>
      <w:numFmt w:val="decimal"/>
      <w:lvlText w:val="%1.%2.%3.%4"/>
      <w:lvlJc w:val="left"/>
      <w:pPr>
        <w:ind w:left="1440" w:firstLine="360"/>
      </w:pPr>
    </w:lvl>
    <w:lvl w:ilvl="4">
      <w:start w:val="1"/>
      <w:numFmt w:val="decimal"/>
      <w:lvlText w:val="%1.%2.%3.%4.%5"/>
      <w:lvlJc w:val="left"/>
      <w:pPr>
        <w:ind w:left="1440" w:firstLine="360"/>
      </w:pPr>
    </w:lvl>
    <w:lvl w:ilvl="5">
      <w:start w:val="1"/>
      <w:numFmt w:val="decimal"/>
      <w:lvlText w:val="%1.%2.%3.%4.%5.%6"/>
      <w:lvlJc w:val="left"/>
      <w:pPr>
        <w:ind w:left="1800" w:firstLine="360"/>
      </w:pPr>
    </w:lvl>
    <w:lvl w:ilvl="6">
      <w:start w:val="1"/>
      <w:numFmt w:val="decimal"/>
      <w:lvlText w:val="%1.%2.%3.%4.%5.%6.%7"/>
      <w:lvlJc w:val="left"/>
      <w:pPr>
        <w:ind w:left="1800" w:firstLine="360"/>
      </w:pPr>
    </w:lvl>
    <w:lvl w:ilvl="7">
      <w:start w:val="1"/>
      <w:numFmt w:val="decimal"/>
      <w:lvlText w:val="%1.%2.%3.%4.%5.%6.%7.%8"/>
      <w:lvlJc w:val="left"/>
      <w:pPr>
        <w:ind w:left="2160" w:firstLine="360"/>
      </w:pPr>
    </w:lvl>
    <w:lvl w:ilvl="8">
      <w:start w:val="1"/>
      <w:numFmt w:val="decimal"/>
      <w:lvlText w:val="%1.%2.%3.%4.%5.%6.%7.%8.%9"/>
      <w:lvlJc w:val="left"/>
      <w:pPr>
        <w:ind w:left="2160" w:firstLine="360"/>
      </w:pPr>
    </w:lvl>
  </w:abstractNum>
  <w:abstractNum w:abstractNumId="8">
    <w:nsid w:val="7D917105"/>
    <w:multiLevelType w:val="multilevel"/>
    <w:tmpl w:val="4072BC74"/>
    <w:lvl w:ilvl="0">
      <w:start w:val="1"/>
      <w:numFmt w:val="decimal"/>
      <w:lvlText w:val="%1."/>
      <w:lvlJc w:val="center"/>
      <w:pPr>
        <w:ind w:left="3685" w:firstLine="3261"/>
      </w:pPr>
      <w:rPr>
        <w:b w:val="0"/>
        <w:sz w:val="20"/>
        <w:szCs w:val="20"/>
      </w:rPr>
    </w:lvl>
    <w:lvl w:ilvl="1">
      <w:start w:val="1"/>
      <w:numFmt w:val="lowerLetter"/>
      <w:lvlText w:val="%2."/>
      <w:lvlJc w:val="left"/>
      <w:pPr>
        <w:ind w:left="5192" w:firstLine="4832"/>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num w:numId="1">
    <w:abstractNumId w:val="1"/>
  </w:num>
  <w:num w:numId="2">
    <w:abstractNumId w:val="8"/>
  </w:num>
  <w:num w:numId="3">
    <w:abstractNumId w:val="0"/>
  </w:num>
  <w:num w:numId="4">
    <w:abstractNumId w:val="3"/>
  </w:num>
  <w:num w:numId="5">
    <w:abstractNumId w:val="5"/>
  </w:num>
  <w:num w:numId="6">
    <w:abstractNumId w:val="7"/>
  </w:num>
  <w:num w:numId="7">
    <w:abstractNumId w:val="4"/>
  </w:num>
  <w:num w:numId="8">
    <w:abstractNumId w:val="6"/>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425"/>
  <w:characterSpacingControl w:val="doNotCompress"/>
  <w:footnotePr>
    <w:footnote w:id="-1"/>
    <w:footnote w:id="0"/>
  </w:footnotePr>
  <w:endnotePr>
    <w:endnote w:id="-1"/>
    <w:endnote w:id="0"/>
  </w:endnotePr>
  <w:compat/>
  <w:rsids>
    <w:rsidRoot w:val="004F5B5B"/>
    <w:rsid w:val="00062CB2"/>
    <w:rsid w:val="000B65DC"/>
    <w:rsid w:val="003E1663"/>
    <w:rsid w:val="003E7978"/>
    <w:rsid w:val="00466532"/>
    <w:rsid w:val="004F5B5B"/>
    <w:rsid w:val="005E052E"/>
    <w:rsid w:val="00A57625"/>
    <w:rsid w:val="00DF7E22"/>
    <w:rsid w:val="00F5380C"/>
    <w:rsid w:val="00F662BD"/>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sz w:val="24"/>
        <w:szCs w:val="24"/>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DF7E22"/>
  </w:style>
  <w:style w:type="paragraph" w:styleId="Titre1">
    <w:name w:val="heading 1"/>
    <w:basedOn w:val="Normal"/>
    <w:next w:val="Normal"/>
    <w:rsid w:val="00DF7E22"/>
    <w:pPr>
      <w:keepNext/>
      <w:keepLines/>
      <w:spacing w:before="480" w:after="120"/>
      <w:contextualSpacing/>
      <w:outlineLvl w:val="0"/>
    </w:pPr>
    <w:rPr>
      <w:b/>
      <w:sz w:val="48"/>
      <w:szCs w:val="48"/>
    </w:rPr>
  </w:style>
  <w:style w:type="paragraph" w:styleId="Titre2">
    <w:name w:val="heading 2"/>
    <w:basedOn w:val="Normal"/>
    <w:next w:val="Normal"/>
    <w:rsid w:val="00DF7E22"/>
    <w:pPr>
      <w:keepNext/>
      <w:jc w:val="center"/>
      <w:outlineLvl w:val="1"/>
    </w:pPr>
    <w:rPr>
      <w:rFonts w:ascii="Belleza" w:eastAsia="Belleza" w:hAnsi="Belleza" w:cs="Belleza"/>
      <w:b/>
      <w:color w:val="006699"/>
      <w:sz w:val="28"/>
      <w:szCs w:val="28"/>
    </w:rPr>
  </w:style>
  <w:style w:type="paragraph" w:styleId="Titre3">
    <w:name w:val="heading 3"/>
    <w:basedOn w:val="Normal"/>
    <w:next w:val="Normal"/>
    <w:rsid w:val="00DF7E22"/>
    <w:pPr>
      <w:keepNext/>
      <w:keepLines/>
      <w:spacing w:before="280" w:after="80"/>
      <w:contextualSpacing/>
      <w:outlineLvl w:val="2"/>
    </w:pPr>
    <w:rPr>
      <w:b/>
      <w:sz w:val="28"/>
      <w:szCs w:val="28"/>
    </w:rPr>
  </w:style>
  <w:style w:type="paragraph" w:styleId="Titre4">
    <w:name w:val="heading 4"/>
    <w:basedOn w:val="Normal"/>
    <w:next w:val="Normal"/>
    <w:rsid w:val="00DF7E22"/>
    <w:pPr>
      <w:keepNext/>
      <w:keepLines/>
      <w:spacing w:before="240" w:after="40"/>
      <w:contextualSpacing/>
      <w:outlineLvl w:val="3"/>
    </w:pPr>
    <w:rPr>
      <w:b/>
    </w:rPr>
  </w:style>
  <w:style w:type="paragraph" w:styleId="Titre5">
    <w:name w:val="heading 5"/>
    <w:basedOn w:val="Normal"/>
    <w:next w:val="Normal"/>
    <w:rsid w:val="00DF7E22"/>
    <w:pPr>
      <w:keepNext/>
      <w:keepLines/>
      <w:spacing w:before="220" w:after="40"/>
      <w:contextualSpacing/>
      <w:outlineLvl w:val="4"/>
    </w:pPr>
    <w:rPr>
      <w:b/>
      <w:sz w:val="22"/>
      <w:szCs w:val="22"/>
    </w:rPr>
  </w:style>
  <w:style w:type="paragraph" w:styleId="Titre6">
    <w:name w:val="heading 6"/>
    <w:basedOn w:val="Normal"/>
    <w:next w:val="Normal"/>
    <w:rsid w:val="00DF7E22"/>
    <w:pPr>
      <w:keepNext/>
      <w:keepLines/>
      <w:spacing w:before="200" w:after="40"/>
      <w:contextualSpacing/>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rsid w:val="00DF7E22"/>
    <w:tblPr>
      <w:tblCellMar>
        <w:top w:w="0" w:type="dxa"/>
        <w:left w:w="0" w:type="dxa"/>
        <w:bottom w:w="0" w:type="dxa"/>
        <w:right w:w="0" w:type="dxa"/>
      </w:tblCellMar>
    </w:tblPr>
  </w:style>
  <w:style w:type="paragraph" w:styleId="Titre">
    <w:name w:val="Title"/>
    <w:basedOn w:val="Normal"/>
    <w:next w:val="Normal"/>
    <w:rsid w:val="00DF7E22"/>
    <w:pPr>
      <w:keepNext/>
      <w:keepLines/>
      <w:spacing w:before="480" w:after="120"/>
      <w:contextualSpacing/>
    </w:pPr>
    <w:rPr>
      <w:b/>
      <w:sz w:val="72"/>
      <w:szCs w:val="72"/>
    </w:rPr>
  </w:style>
  <w:style w:type="paragraph" w:styleId="Sous-titre">
    <w:name w:val="Subtitle"/>
    <w:basedOn w:val="Normal"/>
    <w:next w:val="Normal"/>
    <w:rsid w:val="00DF7E22"/>
    <w:pPr>
      <w:keepNext/>
      <w:keepLines/>
      <w:spacing w:before="360" w:after="80"/>
      <w:contextualSpacing/>
    </w:pPr>
    <w:rPr>
      <w:rFonts w:ascii="Georgia" w:eastAsia="Georgia" w:hAnsi="Georgia" w:cs="Georgia"/>
      <w:i/>
      <w:color w:val="666666"/>
      <w:sz w:val="48"/>
      <w:szCs w:val="48"/>
    </w:rPr>
  </w:style>
  <w:style w:type="table" w:customStyle="1" w:styleId="a">
    <w:basedOn w:val="TableNormal"/>
    <w:rsid w:val="00DF7E22"/>
    <w:tblPr>
      <w:tblStyleRowBandSize w:val="1"/>
      <w:tblStyleColBandSize w:val="1"/>
      <w:tblCellMar>
        <w:top w:w="0" w:type="dxa"/>
        <w:left w:w="115" w:type="dxa"/>
        <w:bottom w:w="0" w:type="dxa"/>
        <w:right w:w="115" w:type="dxa"/>
      </w:tblCellMar>
    </w:tblPr>
  </w:style>
  <w:style w:type="table" w:customStyle="1" w:styleId="a0">
    <w:basedOn w:val="TableNormal"/>
    <w:rsid w:val="00DF7E22"/>
    <w:tblPr>
      <w:tblStyleRowBandSize w:val="1"/>
      <w:tblStyleColBandSize w:val="1"/>
      <w:tblCellMar>
        <w:top w:w="0" w:type="dxa"/>
        <w:left w:w="115" w:type="dxa"/>
        <w:bottom w:w="0" w:type="dxa"/>
        <w:right w:w="115" w:type="dxa"/>
      </w:tblCellMar>
    </w:tblPr>
  </w:style>
  <w:style w:type="table" w:customStyle="1" w:styleId="a1">
    <w:basedOn w:val="TableNormal"/>
    <w:rsid w:val="00DF7E22"/>
    <w:tblPr>
      <w:tblStyleRowBandSize w:val="1"/>
      <w:tblStyleColBandSize w:val="1"/>
      <w:tblCellMar>
        <w:top w:w="0" w:type="dxa"/>
        <w:left w:w="115" w:type="dxa"/>
        <w:bottom w:w="0" w:type="dxa"/>
        <w:right w:w="115" w:type="dxa"/>
      </w:tblCellMar>
    </w:tblPr>
  </w:style>
  <w:style w:type="paragraph" w:styleId="Paragraphedeliste">
    <w:name w:val="List Paragraph"/>
    <w:basedOn w:val="Normal"/>
    <w:uiPriority w:val="34"/>
    <w:qFormat/>
    <w:rsid w:val="00F662BD"/>
    <w:pPr>
      <w:ind w:left="720"/>
      <w:contextualSpacing/>
    </w:pPr>
  </w:style>
  <w:style w:type="paragraph" w:styleId="Textedebulles">
    <w:name w:val="Balloon Text"/>
    <w:basedOn w:val="Normal"/>
    <w:link w:val="TextedebullesCar"/>
    <w:uiPriority w:val="99"/>
    <w:semiHidden/>
    <w:unhideWhenUsed/>
    <w:rsid w:val="00A57625"/>
    <w:rPr>
      <w:rFonts w:ascii="Tahoma" w:hAnsi="Tahoma" w:cs="Tahoma"/>
      <w:sz w:val="16"/>
      <w:szCs w:val="16"/>
    </w:rPr>
  </w:style>
  <w:style w:type="character" w:customStyle="1" w:styleId="TextedebullesCar">
    <w:name w:val="Texte de bulles Car"/>
    <w:basedOn w:val="Policepardfaut"/>
    <w:link w:val="Textedebulles"/>
    <w:uiPriority w:val="99"/>
    <w:semiHidden/>
    <w:rsid w:val="00A5762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1765</Words>
  <Characters>9712</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Aziz Jaid</dc:creator>
  <cp:lastModifiedBy>HP</cp:lastModifiedBy>
  <cp:revision>2</cp:revision>
  <dcterms:created xsi:type="dcterms:W3CDTF">2017-02-14T12:24:00Z</dcterms:created>
  <dcterms:modified xsi:type="dcterms:W3CDTF">2017-02-14T12:24:00Z</dcterms:modified>
</cp:coreProperties>
</file>