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D1D" w:rsidRPr="003E003E" w:rsidRDefault="00551D1D" w:rsidP="00551D1D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15pt;margin-top:-27pt;width:79.25pt;height:63.4pt;z-index:251657216;mso-wrap-style:none" filled="f" stroked="f">
            <v:textbox style="mso-next-textbox:#_x0000_s1028;mso-fit-shape-to-text:t">
              <w:txbxContent>
                <w:p w:rsidR="00551D1D" w:rsidRPr="0072636B" w:rsidRDefault="001F0E41" w:rsidP="00551D1D">
                  <w:pPr>
                    <w:jc w:val="both"/>
                  </w:pPr>
                  <w:bookmarkStart w:id="0" w:name="OLE_LINK1"/>
                  <w:bookmarkStart w:id="1" w:name="OLE_LINK2"/>
                  <w:bookmarkStart w:id="2" w:name="OLE_LINK3"/>
                  <w:bookmarkStart w:id="3" w:name="OLE_LINK4"/>
                  <w:r w:rsidRPr="001F0E41">
                    <w:rPr>
                      <w:noProof/>
                      <w:sz w:val="26"/>
                      <w:szCs w:val="26"/>
                      <w:lang w:val="en-US" w:eastAsia="en-US"/>
                    </w:rPr>
                    <w:drawing>
                      <wp:inline distT="0" distB="0" distL="0" distR="0">
                        <wp:extent cx="904875" cy="847725"/>
                        <wp:effectExtent l="19050" t="0" r="9525" b="0"/>
                        <wp:docPr id="22" name="Imag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  <w:bookmarkEnd w:id="1"/>
                  <w:bookmarkEnd w:id="2"/>
                  <w:bookmarkEnd w:id="3"/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9" type="#_x0000_t202" style="position:absolute;left:0;text-align:left;margin-left:1in;margin-top:-18pt;width:66.95pt;height:51.45pt;z-index:251658240;mso-wrap-style:none" filled="f" stroked="f">
            <v:textbox style="mso-next-textbox:#_x0000_s1029;mso-fit-shape-to-text:t">
              <w:txbxContent>
                <w:p w:rsidR="00551D1D" w:rsidRPr="00D04CAF" w:rsidRDefault="00B312E7" w:rsidP="00551D1D">
                  <w:pPr>
                    <w:jc w:val="both"/>
                    <w:rPr>
                      <w:noProof/>
                    </w:rPr>
                  </w:pPr>
                  <w:r>
                    <w:rPr>
                      <w:noProof/>
                      <w:lang w:val="en-US" w:eastAsia="en-US"/>
                    </w:rPr>
                    <w:drawing>
                      <wp:inline distT="0" distB="0" distL="0" distR="0">
                        <wp:extent cx="819150" cy="676275"/>
                        <wp:effectExtent l="19050" t="0" r="0" b="0"/>
                        <wp:docPr id="2" name="Image 2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Pr="003E003E">
        <w:t xml:space="preserve"> </w:t>
      </w:r>
    </w:p>
    <w:tbl>
      <w:tblPr>
        <w:tblpPr w:leftFromText="180" w:rightFromText="180" w:vertAnchor="text" w:horzAnchor="margin" w:tblpY="438"/>
        <w:tblW w:w="9540" w:type="dxa"/>
        <w:tblLook w:val="0000"/>
      </w:tblPr>
      <w:tblGrid>
        <w:gridCol w:w="4770"/>
        <w:gridCol w:w="4770"/>
      </w:tblGrid>
      <w:tr w:rsidR="00551D1D" w:rsidRPr="00551D1D" w:rsidTr="00675E3A">
        <w:trPr>
          <w:trHeight w:val="360"/>
        </w:trPr>
        <w:tc>
          <w:tcPr>
            <w:tcW w:w="4770" w:type="dxa"/>
          </w:tcPr>
          <w:p w:rsidR="001F0E41" w:rsidRDefault="001F0E41" w:rsidP="00551D1D">
            <w:pPr>
              <w:jc w:val="center"/>
              <w:rPr>
                <w:rFonts w:ascii="Optima" w:hAnsi="Optima"/>
                <w:b/>
                <w:bCs/>
                <w:color w:val="336699"/>
              </w:rPr>
            </w:pPr>
          </w:p>
          <w:p w:rsidR="00551D1D" w:rsidRDefault="00551D1D" w:rsidP="00551D1D">
            <w:pPr>
              <w:jc w:val="center"/>
              <w:rPr>
                <w:rFonts w:ascii="Optima" w:hAnsi="Optima"/>
                <w:b/>
                <w:bCs/>
                <w:color w:val="336699"/>
              </w:rPr>
            </w:pPr>
            <w:r w:rsidRPr="00513D3C">
              <w:rPr>
                <w:rFonts w:ascii="Optima" w:hAnsi="Optima"/>
                <w:b/>
                <w:bCs/>
                <w:color w:val="336699"/>
              </w:rPr>
              <w:t>Commission économique pour l’Afrique</w:t>
            </w:r>
          </w:p>
          <w:p w:rsidR="00551D1D" w:rsidRPr="00551D1D" w:rsidRDefault="00551D1D" w:rsidP="00551D1D">
            <w:pPr>
              <w:jc w:val="center"/>
              <w:rPr>
                <w:rFonts w:ascii="Optima" w:hAnsi="Optima"/>
                <w:b/>
                <w:bCs/>
                <w:color w:val="336699"/>
              </w:rPr>
            </w:pPr>
            <w:r>
              <w:rPr>
                <w:rFonts w:ascii="Optima" w:hAnsi="Optima"/>
                <w:b/>
                <w:bCs/>
                <w:color w:val="336699"/>
              </w:rPr>
              <w:t>Bureau Afrique du Nord</w:t>
            </w:r>
          </w:p>
        </w:tc>
        <w:tc>
          <w:tcPr>
            <w:tcW w:w="4770" w:type="dxa"/>
          </w:tcPr>
          <w:p w:rsidR="001F0E41" w:rsidRDefault="001F0E41" w:rsidP="00675E3A">
            <w:pPr>
              <w:ind w:right="-36"/>
              <w:jc w:val="center"/>
              <w:rPr>
                <w:rFonts w:ascii="Optima" w:hAnsi="Optima"/>
                <w:b/>
                <w:bCs/>
                <w:color w:val="996600"/>
              </w:rPr>
            </w:pPr>
          </w:p>
          <w:p w:rsidR="00551D1D" w:rsidRPr="001F0E41" w:rsidRDefault="00551D1D" w:rsidP="00675E3A">
            <w:pPr>
              <w:ind w:right="-36"/>
              <w:jc w:val="center"/>
              <w:rPr>
                <w:rFonts w:ascii="Optima" w:hAnsi="Optima"/>
                <w:b/>
                <w:bCs/>
                <w:color w:val="996600"/>
              </w:rPr>
            </w:pPr>
            <w:r w:rsidRPr="001F0E41">
              <w:rPr>
                <w:rFonts w:ascii="Optima" w:hAnsi="Optima"/>
                <w:b/>
                <w:bCs/>
                <w:color w:val="996600"/>
              </w:rPr>
              <w:t>Union du Maghreb Arabe</w:t>
            </w:r>
          </w:p>
          <w:p w:rsidR="00551D1D" w:rsidRPr="001F0E41" w:rsidRDefault="00551D1D" w:rsidP="00675E3A">
            <w:pPr>
              <w:ind w:right="-36"/>
              <w:jc w:val="center"/>
              <w:rPr>
                <w:rFonts w:ascii="Optima" w:hAnsi="Optima"/>
                <w:b/>
                <w:bCs/>
                <w:color w:val="996600"/>
              </w:rPr>
            </w:pPr>
            <w:r w:rsidRPr="001F0E41">
              <w:rPr>
                <w:rFonts w:ascii="Optima" w:hAnsi="Optima"/>
                <w:b/>
                <w:bCs/>
                <w:color w:val="996600"/>
              </w:rPr>
              <w:t>Secrétariat Général</w:t>
            </w:r>
          </w:p>
          <w:p w:rsidR="00551D1D" w:rsidRPr="00551D1D" w:rsidRDefault="00551D1D" w:rsidP="00675E3A">
            <w:pPr>
              <w:ind w:right="-36"/>
              <w:jc w:val="center"/>
              <w:rPr>
                <w:rFonts w:ascii="Optima" w:hAnsi="Optima"/>
                <w:b/>
                <w:bCs/>
                <w:color w:val="336699"/>
              </w:rPr>
            </w:pPr>
          </w:p>
        </w:tc>
      </w:tr>
      <w:tr w:rsidR="00551D1D" w:rsidRPr="00551D1D" w:rsidTr="00675E3A">
        <w:trPr>
          <w:trHeight w:val="360"/>
        </w:trPr>
        <w:tc>
          <w:tcPr>
            <w:tcW w:w="4770" w:type="dxa"/>
          </w:tcPr>
          <w:p w:rsidR="00551D1D" w:rsidRPr="00513D3C" w:rsidRDefault="00551D1D" w:rsidP="00551D1D">
            <w:pPr>
              <w:rPr>
                <w:rFonts w:ascii="Optima" w:hAnsi="Optima"/>
                <w:b/>
                <w:bCs/>
                <w:color w:val="336699"/>
              </w:rPr>
            </w:pPr>
          </w:p>
        </w:tc>
        <w:tc>
          <w:tcPr>
            <w:tcW w:w="4770" w:type="dxa"/>
          </w:tcPr>
          <w:p w:rsidR="00551D1D" w:rsidRPr="00551D1D" w:rsidRDefault="00551D1D" w:rsidP="00675E3A">
            <w:pPr>
              <w:ind w:right="-36"/>
              <w:jc w:val="center"/>
              <w:rPr>
                <w:rFonts w:ascii="Optima" w:hAnsi="Optima"/>
                <w:b/>
                <w:bCs/>
                <w:color w:val="336699"/>
              </w:rPr>
            </w:pPr>
          </w:p>
        </w:tc>
      </w:tr>
    </w:tbl>
    <w:p w:rsidR="00551D1D" w:rsidRPr="00551D1D" w:rsidRDefault="00551D1D" w:rsidP="00551D1D">
      <w:pPr>
        <w:jc w:val="center"/>
        <w:rPr>
          <w:b/>
          <w:bCs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20"/>
      </w:tblGrid>
      <w:tr w:rsidR="00551D1D" w:rsidRPr="00551D1D" w:rsidTr="001F0E41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9720" w:type="dxa"/>
            <w:tcBorders>
              <w:top w:val="single" w:sz="4" w:space="0" w:color="CC6600"/>
              <w:left w:val="single" w:sz="4" w:space="0" w:color="CC6600"/>
              <w:bottom w:val="single" w:sz="4" w:space="0" w:color="CC6600"/>
              <w:right w:val="single" w:sz="4" w:space="0" w:color="CC6600"/>
            </w:tcBorders>
            <w:shd w:val="clear" w:color="auto" w:fill="E36C0A" w:themeFill="accent6" w:themeFillShade="BF"/>
            <w:vAlign w:val="center"/>
          </w:tcPr>
          <w:p w:rsidR="001F0E41" w:rsidRDefault="001F0E41" w:rsidP="001F0E41">
            <w:pPr>
              <w:shd w:val="clear" w:color="auto" w:fill="E36C0A" w:themeFill="accent6" w:themeFillShade="BF"/>
              <w:jc w:val="center"/>
              <w:rPr>
                <w:b/>
                <w:bCs/>
                <w:color w:val="FFFF00"/>
                <w:sz w:val="28"/>
                <w:szCs w:val="28"/>
              </w:rPr>
            </w:pPr>
          </w:p>
          <w:p w:rsidR="001F0E41" w:rsidRPr="001F0E41" w:rsidRDefault="00551D1D" w:rsidP="001F0E41">
            <w:pPr>
              <w:shd w:val="clear" w:color="auto" w:fill="E36C0A" w:themeFill="accent6" w:themeFillShade="BF"/>
              <w:jc w:val="center"/>
              <w:rPr>
                <w:b/>
                <w:bCs/>
                <w:color w:val="FFFF00"/>
                <w:sz w:val="28"/>
                <w:szCs w:val="28"/>
              </w:rPr>
            </w:pPr>
            <w:r w:rsidRPr="001F0E41">
              <w:rPr>
                <w:b/>
                <w:bCs/>
                <w:color w:val="FFFF00"/>
                <w:sz w:val="28"/>
                <w:szCs w:val="28"/>
              </w:rPr>
              <w:t xml:space="preserve">Programme pluriannuel de travail avec </w:t>
            </w:r>
          </w:p>
          <w:p w:rsidR="00551D1D" w:rsidRPr="001F0E41" w:rsidRDefault="00551D1D" w:rsidP="001F0E41">
            <w:pPr>
              <w:shd w:val="clear" w:color="auto" w:fill="E36C0A" w:themeFill="accent6" w:themeFillShade="BF"/>
              <w:jc w:val="center"/>
              <w:rPr>
                <w:b/>
                <w:bCs/>
                <w:color w:val="FFFF00"/>
                <w:spacing w:val="-20"/>
                <w:sz w:val="28"/>
                <w:szCs w:val="28"/>
              </w:rPr>
            </w:pPr>
            <w:r w:rsidRPr="001F0E41">
              <w:rPr>
                <w:b/>
                <w:bCs/>
                <w:color w:val="FFFF00"/>
                <w:sz w:val="28"/>
                <w:szCs w:val="28"/>
              </w:rPr>
              <w:t xml:space="preserve">le Secrétariat Général de </w:t>
            </w:r>
            <w:r w:rsidRPr="001F0E41">
              <w:rPr>
                <w:b/>
                <w:bCs/>
                <w:color w:val="FFFF00"/>
                <w:spacing w:val="-20"/>
                <w:sz w:val="28"/>
                <w:szCs w:val="28"/>
              </w:rPr>
              <w:t>l’Union du Maghreb Arabe</w:t>
            </w:r>
          </w:p>
          <w:p w:rsidR="00551D1D" w:rsidRPr="001F0E41" w:rsidRDefault="00551D1D" w:rsidP="001F0E41">
            <w:pPr>
              <w:shd w:val="clear" w:color="auto" w:fill="E36C0A" w:themeFill="accent6" w:themeFillShade="BF"/>
              <w:jc w:val="center"/>
              <w:rPr>
                <w:b/>
                <w:bCs/>
                <w:color w:val="FFFF00"/>
                <w:sz w:val="28"/>
                <w:szCs w:val="28"/>
              </w:rPr>
            </w:pPr>
          </w:p>
          <w:p w:rsidR="00551D1D" w:rsidRPr="001F0E41" w:rsidRDefault="00551D1D" w:rsidP="001F0E41">
            <w:pPr>
              <w:shd w:val="clear" w:color="auto" w:fill="E36C0A" w:themeFill="accent6" w:themeFillShade="BF"/>
              <w:jc w:val="center"/>
              <w:rPr>
                <w:b/>
                <w:bCs/>
                <w:color w:val="996600"/>
                <w:sz w:val="28"/>
                <w:szCs w:val="28"/>
              </w:rPr>
            </w:pPr>
            <w:r w:rsidRPr="001F0E41">
              <w:rPr>
                <w:b/>
                <w:bCs/>
                <w:color w:val="FFFF00"/>
                <w:sz w:val="28"/>
                <w:szCs w:val="28"/>
              </w:rPr>
              <w:t>Réalis</w:t>
            </w:r>
            <w:r w:rsidR="00CB4CD2" w:rsidRPr="001F0E41">
              <w:rPr>
                <w:b/>
                <w:bCs/>
                <w:color w:val="FFFF00"/>
                <w:sz w:val="28"/>
                <w:szCs w:val="28"/>
              </w:rPr>
              <w:t>ations pour la période 2010-2012</w:t>
            </w:r>
            <w:r w:rsidRPr="001F0E41">
              <w:rPr>
                <w:b/>
                <w:bCs/>
                <w:color w:val="FFFF00"/>
                <w:sz w:val="28"/>
                <w:szCs w:val="28"/>
              </w:rPr>
              <w:t xml:space="preserve"> et perspectives pour </w:t>
            </w:r>
            <w:r w:rsidR="00CE6A0E" w:rsidRPr="001F0E41">
              <w:rPr>
                <w:b/>
                <w:bCs/>
                <w:color w:val="FFFF00"/>
                <w:sz w:val="28"/>
                <w:szCs w:val="28"/>
              </w:rPr>
              <w:t>le futur</w:t>
            </w:r>
          </w:p>
          <w:p w:rsidR="00551D1D" w:rsidRPr="00551D1D" w:rsidRDefault="00551D1D" w:rsidP="00675E3A">
            <w:pPr>
              <w:jc w:val="right"/>
              <w:rPr>
                <w:rFonts w:ascii="Optima" w:hAnsi="Optima"/>
                <w:color w:val="FFFF00"/>
                <w:sz w:val="32"/>
                <w:szCs w:val="32"/>
              </w:rPr>
            </w:pPr>
          </w:p>
        </w:tc>
      </w:tr>
    </w:tbl>
    <w:p w:rsidR="00E331E2" w:rsidRDefault="00E331E2" w:rsidP="003E2167">
      <w:pPr>
        <w:jc w:val="both"/>
      </w:pPr>
    </w:p>
    <w:p w:rsidR="00E331E2" w:rsidRPr="001F0E41" w:rsidRDefault="00E331E2" w:rsidP="00E331E2">
      <w:pPr>
        <w:jc w:val="center"/>
        <w:rPr>
          <w:b/>
          <w:bCs/>
          <w:color w:val="1F497D" w:themeColor="text2"/>
          <w:sz w:val="40"/>
          <w:szCs w:val="40"/>
        </w:rPr>
      </w:pPr>
      <w:r w:rsidRPr="001F0E41">
        <w:rPr>
          <w:b/>
          <w:bCs/>
          <w:color w:val="1F497D" w:themeColor="text2"/>
          <w:sz w:val="40"/>
          <w:szCs w:val="40"/>
        </w:rPr>
        <w:t>Programme</w:t>
      </w:r>
    </w:p>
    <w:p w:rsidR="00551D1D" w:rsidRDefault="00551D1D" w:rsidP="00E16EAC">
      <w:pPr>
        <w:jc w:val="center"/>
        <w:rPr>
          <w:b/>
          <w:bCs/>
          <w:sz w:val="22"/>
          <w:szCs w:val="22"/>
        </w:rPr>
      </w:pPr>
    </w:p>
    <w:p w:rsidR="00E331E2" w:rsidRPr="00C26521" w:rsidRDefault="00E16EAC" w:rsidP="00E16EAC">
      <w:pPr>
        <w:jc w:val="center"/>
        <w:rPr>
          <w:b/>
          <w:bCs/>
          <w:color w:val="FF6600"/>
        </w:rPr>
      </w:pPr>
      <w:r w:rsidRPr="00C26521">
        <w:rPr>
          <w:b/>
          <w:bCs/>
          <w:color w:val="FF6600"/>
        </w:rPr>
        <w:t>Mercredi 1</w:t>
      </w:r>
      <w:r w:rsidR="00936C98" w:rsidRPr="00C26521">
        <w:rPr>
          <w:b/>
          <w:bCs/>
          <w:color w:val="FF6600"/>
        </w:rPr>
        <w:t>4</w:t>
      </w:r>
      <w:r w:rsidR="00E331E2" w:rsidRPr="00C26521">
        <w:rPr>
          <w:b/>
          <w:bCs/>
          <w:color w:val="FF6600"/>
        </w:rPr>
        <w:t xml:space="preserve"> </w:t>
      </w:r>
      <w:r w:rsidRPr="00C26521">
        <w:rPr>
          <w:b/>
          <w:bCs/>
          <w:color w:val="FF6600"/>
        </w:rPr>
        <w:t>décembre</w:t>
      </w:r>
      <w:r w:rsidR="00936C98" w:rsidRPr="00C26521">
        <w:rPr>
          <w:b/>
          <w:bCs/>
          <w:color w:val="FF6600"/>
        </w:rPr>
        <w:t xml:space="preserve"> 2011</w:t>
      </w:r>
    </w:p>
    <w:p w:rsidR="00E331E2" w:rsidRPr="00C26521" w:rsidRDefault="009228D4" w:rsidP="00A22524">
      <w:pPr>
        <w:jc w:val="center"/>
        <w:rPr>
          <w:b/>
          <w:bCs/>
          <w:color w:val="FF6600"/>
          <w:lang w:val="en-US"/>
        </w:rPr>
      </w:pPr>
      <w:r w:rsidRPr="00C26521">
        <w:rPr>
          <w:b/>
          <w:bCs/>
          <w:color w:val="FF6600"/>
          <w:lang w:val="en-US"/>
        </w:rPr>
        <w:t>Tour Hassan</w:t>
      </w:r>
      <w:r w:rsidR="00936C98" w:rsidRPr="00C26521">
        <w:rPr>
          <w:b/>
          <w:bCs/>
          <w:color w:val="FF6600"/>
          <w:lang w:val="en-US"/>
        </w:rPr>
        <w:t>,</w:t>
      </w:r>
      <w:r w:rsidR="005B06A1" w:rsidRPr="00C26521">
        <w:rPr>
          <w:b/>
          <w:bCs/>
          <w:color w:val="FF6600"/>
          <w:lang w:val="en-US"/>
        </w:rPr>
        <w:t xml:space="preserve"> </w:t>
      </w:r>
      <w:r w:rsidR="00E331E2" w:rsidRPr="00C26521">
        <w:rPr>
          <w:b/>
          <w:bCs/>
          <w:color w:val="FF6600"/>
          <w:lang w:val="en-US"/>
        </w:rPr>
        <w:t>Rabat</w:t>
      </w:r>
    </w:p>
    <w:p w:rsidR="00F50D42" w:rsidRPr="00551D1D" w:rsidRDefault="00F50D42" w:rsidP="00E331E2">
      <w:pPr>
        <w:jc w:val="both"/>
        <w:rPr>
          <w:b/>
          <w:bCs/>
          <w:sz w:val="26"/>
          <w:szCs w:val="26"/>
          <w:lang w:val="en-US"/>
        </w:rPr>
      </w:pPr>
    </w:p>
    <w:tbl>
      <w:tblPr>
        <w:tblW w:w="9498" w:type="dxa"/>
        <w:tblInd w:w="-34" w:type="dxa"/>
        <w:tblLook w:val="01E0"/>
      </w:tblPr>
      <w:tblGrid>
        <w:gridCol w:w="1816"/>
        <w:gridCol w:w="7682"/>
      </w:tblGrid>
      <w:tr w:rsidR="00E331E2" w:rsidRPr="00675E3A" w:rsidTr="00675E3A">
        <w:tc>
          <w:tcPr>
            <w:tcW w:w="1816" w:type="dxa"/>
          </w:tcPr>
          <w:p w:rsidR="00E331E2" w:rsidRPr="00675E3A" w:rsidRDefault="00E331E2" w:rsidP="00675E3A">
            <w:pPr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9:</w:t>
            </w:r>
            <w:r w:rsidR="00404695" w:rsidRPr="00675E3A">
              <w:rPr>
                <w:sz w:val="26"/>
                <w:szCs w:val="26"/>
              </w:rPr>
              <w:t>3</w:t>
            </w:r>
            <w:r w:rsidRPr="00675E3A">
              <w:rPr>
                <w:sz w:val="26"/>
                <w:szCs w:val="26"/>
              </w:rPr>
              <w:t>0</w:t>
            </w:r>
            <w:r w:rsidR="00E16EAC" w:rsidRPr="00675E3A">
              <w:rPr>
                <w:sz w:val="26"/>
                <w:szCs w:val="26"/>
              </w:rPr>
              <w:t>-</w:t>
            </w:r>
            <w:r w:rsidR="00404695" w:rsidRPr="00675E3A">
              <w:rPr>
                <w:sz w:val="26"/>
                <w:szCs w:val="26"/>
              </w:rPr>
              <w:t>10:00</w:t>
            </w:r>
          </w:p>
        </w:tc>
        <w:tc>
          <w:tcPr>
            <w:tcW w:w="7682" w:type="dxa"/>
          </w:tcPr>
          <w:p w:rsidR="00404695" w:rsidRPr="00675E3A" w:rsidRDefault="00E331E2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Accueil et inscription des participants</w:t>
            </w:r>
          </w:p>
        </w:tc>
      </w:tr>
      <w:tr w:rsidR="00E331E2" w:rsidRPr="00675E3A" w:rsidTr="00675E3A">
        <w:tc>
          <w:tcPr>
            <w:tcW w:w="1816" w:type="dxa"/>
          </w:tcPr>
          <w:p w:rsidR="00E331E2" w:rsidRPr="00675E3A" w:rsidRDefault="00404695" w:rsidP="00675E3A">
            <w:pPr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10</w:t>
            </w:r>
            <w:r w:rsidR="00E331E2" w:rsidRPr="00675E3A">
              <w:rPr>
                <w:sz w:val="26"/>
                <w:szCs w:val="26"/>
              </w:rPr>
              <w:t>:</w:t>
            </w:r>
            <w:r w:rsidRPr="00675E3A">
              <w:rPr>
                <w:sz w:val="26"/>
                <w:szCs w:val="26"/>
              </w:rPr>
              <w:t>0</w:t>
            </w:r>
            <w:r w:rsidR="00E331E2" w:rsidRPr="00675E3A">
              <w:rPr>
                <w:sz w:val="26"/>
                <w:szCs w:val="26"/>
              </w:rPr>
              <w:t>0-10:30</w:t>
            </w:r>
          </w:p>
          <w:p w:rsidR="00667ACD" w:rsidRPr="00675E3A" w:rsidRDefault="00667ACD" w:rsidP="00675E3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682" w:type="dxa"/>
          </w:tcPr>
          <w:p w:rsidR="00B312E7" w:rsidRPr="00675E3A" w:rsidRDefault="00B312E7" w:rsidP="00B312E7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Intervention du Secrétariat Général de l’Union du Maghreb Arabe</w:t>
            </w:r>
          </w:p>
          <w:p w:rsidR="00F50D42" w:rsidRPr="00675E3A" w:rsidRDefault="00404695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Intervention</w:t>
            </w:r>
            <w:r w:rsidR="00E331E2" w:rsidRPr="00675E3A">
              <w:rPr>
                <w:sz w:val="26"/>
                <w:szCs w:val="26"/>
              </w:rPr>
              <w:t xml:space="preserve"> de la Directrice du Bureau pour l’Afrique du Nord de la CEA</w:t>
            </w:r>
          </w:p>
          <w:p w:rsidR="00F50D42" w:rsidRPr="00675E3A" w:rsidRDefault="00E16EAC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Programme de la journée</w:t>
            </w:r>
          </w:p>
        </w:tc>
      </w:tr>
      <w:tr w:rsidR="00E331E2" w:rsidRPr="00675E3A" w:rsidTr="00675E3A">
        <w:tc>
          <w:tcPr>
            <w:tcW w:w="1816" w:type="dxa"/>
          </w:tcPr>
          <w:p w:rsidR="00E331E2" w:rsidRPr="00675E3A" w:rsidRDefault="00F50D42" w:rsidP="00675E3A">
            <w:pPr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10:30-11:00</w:t>
            </w:r>
          </w:p>
        </w:tc>
        <w:tc>
          <w:tcPr>
            <w:tcW w:w="7682" w:type="dxa"/>
          </w:tcPr>
          <w:p w:rsidR="00F50D42" w:rsidRPr="00675E3A" w:rsidRDefault="00F50D42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Pause café</w:t>
            </w:r>
          </w:p>
        </w:tc>
      </w:tr>
      <w:tr w:rsidR="00F50D42" w:rsidRPr="00675E3A" w:rsidTr="00675E3A">
        <w:tc>
          <w:tcPr>
            <w:tcW w:w="1816" w:type="dxa"/>
          </w:tcPr>
          <w:p w:rsidR="00F50D42" w:rsidRPr="00675E3A" w:rsidRDefault="00E16EAC" w:rsidP="00675E3A">
            <w:pPr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11:00-13:0</w:t>
            </w:r>
            <w:r w:rsidR="00F50D42" w:rsidRPr="00675E3A">
              <w:rPr>
                <w:sz w:val="26"/>
                <w:szCs w:val="26"/>
              </w:rPr>
              <w:t>0</w:t>
            </w:r>
          </w:p>
          <w:p w:rsidR="00667ACD" w:rsidRPr="00675E3A" w:rsidRDefault="00667ACD" w:rsidP="00675E3A">
            <w:pPr>
              <w:ind w:right="-108"/>
              <w:rPr>
                <w:sz w:val="26"/>
                <w:szCs w:val="26"/>
                <w:u w:val="single"/>
              </w:rPr>
            </w:pPr>
          </w:p>
        </w:tc>
        <w:tc>
          <w:tcPr>
            <w:tcW w:w="7682" w:type="dxa"/>
          </w:tcPr>
          <w:p w:rsidR="00E16EAC" w:rsidRPr="00675E3A" w:rsidRDefault="00E16EAC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 xml:space="preserve">Réalisations </w:t>
            </w:r>
            <w:r w:rsidR="00404695" w:rsidRPr="00675E3A">
              <w:rPr>
                <w:sz w:val="26"/>
                <w:szCs w:val="26"/>
              </w:rPr>
              <w:t xml:space="preserve">et bilan </w:t>
            </w:r>
            <w:r w:rsidRPr="00675E3A">
              <w:rPr>
                <w:sz w:val="26"/>
                <w:szCs w:val="26"/>
              </w:rPr>
              <w:t>du progr</w:t>
            </w:r>
            <w:r w:rsidR="00936C98" w:rsidRPr="00675E3A">
              <w:rPr>
                <w:sz w:val="26"/>
                <w:szCs w:val="26"/>
              </w:rPr>
              <w:t xml:space="preserve">amme </w:t>
            </w:r>
            <w:r w:rsidR="00CB4CD2" w:rsidRPr="00675E3A">
              <w:rPr>
                <w:sz w:val="26"/>
                <w:szCs w:val="26"/>
              </w:rPr>
              <w:t>pluriannuel de travail 2010-2012</w:t>
            </w:r>
            <w:r w:rsidRPr="00675E3A">
              <w:rPr>
                <w:sz w:val="26"/>
                <w:szCs w:val="26"/>
              </w:rPr>
              <w:t xml:space="preserve"> </w:t>
            </w:r>
          </w:p>
          <w:p w:rsidR="00F50D42" w:rsidRPr="00675E3A" w:rsidRDefault="00F50D42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 xml:space="preserve">Présentations des points focaux </w:t>
            </w:r>
            <w:r w:rsidR="00E16EAC" w:rsidRPr="00675E3A">
              <w:rPr>
                <w:sz w:val="26"/>
                <w:szCs w:val="26"/>
              </w:rPr>
              <w:t>du Secrétariat Général de</w:t>
            </w:r>
            <w:r w:rsidR="00731E24" w:rsidRPr="00675E3A">
              <w:rPr>
                <w:sz w:val="26"/>
                <w:szCs w:val="26"/>
              </w:rPr>
              <w:t xml:space="preserve"> l’</w:t>
            </w:r>
            <w:r w:rsidR="00E16EAC" w:rsidRPr="00675E3A">
              <w:rPr>
                <w:sz w:val="26"/>
                <w:szCs w:val="26"/>
              </w:rPr>
              <w:t>UMA et de la CEA</w:t>
            </w:r>
          </w:p>
          <w:p w:rsidR="008128F9" w:rsidRPr="00675E3A" w:rsidRDefault="00F50D42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Débats</w:t>
            </w:r>
          </w:p>
        </w:tc>
      </w:tr>
      <w:tr w:rsidR="008128F9" w:rsidRPr="00675E3A" w:rsidTr="00675E3A">
        <w:tc>
          <w:tcPr>
            <w:tcW w:w="1816" w:type="dxa"/>
          </w:tcPr>
          <w:p w:rsidR="008128F9" w:rsidRPr="00675E3A" w:rsidRDefault="008128F9" w:rsidP="00675E3A">
            <w:pPr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13:</w:t>
            </w:r>
            <w:r w:rsidR="00E16EAC" w:rsidRPr="00675E3A">
              <w:rPr>
                <w:sz w:val="26"/>
                <w:szCs w:val="26"/>
              </w:rPr>
              <w:t>0</w:t>
            </w:r>
            <w:r w:rsidRPr="00675E3A">
              <w:rPr>
                <w:sz w:val="26"/>
                <w:szCs w:val="26"/>
              </w:rPr>
              <w:t>0</w:t>
            </w:r>
            <w:r w:rsidR="00E16EAC" w:rsidRPr="00675E3A">
              <w:rPr>
                <w:sz w:val="26"/>
                <w:szCs w:val="26"/>
              </w:rPr>
              <w:t>-14:30</w:t>
            </w:r>
          </w:p>
        </w:tc>
        <w:tc>
          <w:tcPr>
            <w:tcW w:w="7682" w:type="dxa"/>
          </w:tcPr>
          <w:p w:rsidR="008128F9" w:rsidRPr="00675E3A" w:rsidRDefault="008128F9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Déjeuner</w:t>
            </w:r>
          </w:p>
        </w:tc>
      </w:tr>
      <w:tr w:rsidR="00E16EAC" w:rsidRPr="00675E3A" w:rsidTr="00675E3A">
        <w:tc>
          <w:tcPr>
            <w:tcW w:w="1816" w:type="dxa"/>
          </w:tcPr>
          <w:p w:rsidR="00E16EAC" w:rsidRPr="00675E3A" w:rsidRDefault="00404695" w:rsidP="00675E3A">
            <w:pPr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14</w:t>
            </w:r>
            <w:r w:rsidR="00842548" w:rsidRPr="00675E3A">
              <w:rPr>
                <w:sz w:val="26"/>
                <w:szCs w:val="26"/>
              </w:rPr>
              <w:t>:30-1</w:t>
            </w:r>
            <w:r w:rsidRPr="00675E3A">
              <w:rPr>
                <w:sz w:val="26"/>
                <w:szCs w:val="26"/>
              </w:rPr>
              <w:t>6:30</w:t>
            </w:r>
          </w:p>
        </w:tc>
        <w:tc>
          <w:tcPr>
            <w:tcW w:w="7682" w:type="dxa"/>
          </w:tcPr>
          <w:p w:rsidR="00B312E7" w:rsidRPr="00675E3A" w:rsidRDefault="00B312E7" w:rsidP="00B312E7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Activités du Secrétariat Général de l’Union du Maghreb Arabe pour 2012-2013</w:t>
            </w:r>
          </w:p>
          <w:p w:rsidR="00CE6A0E" w:rsidRPr="00675E3A" w:rsidRDefault="00CE6A0E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 xml:space="preserve">Activités </w:t>
            </w:r>
            <w:r w:rsidR="002F0170" w:rsidRPr="00675E3A">
              <w:rPr>
                <w:sz w:val="26"/>
                <w:szCs w:val="26"/>
              </w:rPr>
              <w:t xml:space="preserve">du Bureau pour l’Afrique du Nord de la CEA </w:t>
            </w:r>
            <w:r w:rsidRPr="00675E3A">
              <w:rPr>
                <w:sz w:val="26"/>
                <w:szCs w:val="26"/>
              </w:rPr>
              <w:t>pour 2012-2013</w:t>
            </w:r>
          </w:p>
          <w:p w:rsidR="00E16EAC" w:rsidRPr="00675E3A" w:rsidRDefault="00E16EAC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 xml:space="preserve">Grandes lignes du </w:t>
            </w:r>
            <w:r w:rsidR="002F0170" w:rsidRPr="00675E3A">
              <w:rPr>
                <w:sz w:val="26"/>
                <w:szCs w:val="26"/>
              </w:rPr>
              <w:t xml:space="preserve">prochain </w:t>
            </w:r>
            <w:r w:rsidRPr="00675E3A">
              <w:rPr>
                <w:sz w:val="26"/>
                <w:szCs w:val="26"/>
              </w:rPr>
              <w:t xml:space="preserve">programme </w:t>
            </w:r>
            <w:r w:rsidR="00936C98" w:rsidRPr="00675E3A">
              <w:rPr>
                <w:sz w:val="26"/>
                <w:szCs w:val="26"/>
              </w:rPr>
              <w:t>pluri</w:t>
            </w:r>
            <w:r w:rsidR="002F0170" w:rsidRPr="00675E3A">
              <w:rPr>
                <w:sz w:val="26"/>
                <w:szCs w:val="26"/>
              </w:rPr>
              <w:t xml:space="preserve">annuel de travail </w:t>
            </w:r>
          </w:p>
          <w:p w:rsidR="00E16EAC" w:rsidRPr="00675E3A" w:rsidRDefault="00E16EAC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Débats</w:t>
            </w:r>
          </w:p>
          <w:p w:rsidR="00E16EAC" w:rsidRPr="00675E3A" w:rsidRDefault="00A22524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C</w:t>
            </w:r>
            <w:r w:rsidR="00E16EAC" w:rsidRPr="00675E3A">
              <w:rPr>
                <w:sz w:val="26"/>
                <w:szCs w:val="26"/>
              </w:rPr>
              <w:t>lôture</w:t>
            </w:r>
          </w:p>
        </w:tc>
      </w:tr>
      <w:tr w:rsidR="00404695" w:rsidRPr="00675E3A" w:rsidTr="00675E3A">
        <w:tc>
          <w:tcPr>
            <w:tcW w:w="1816" w:type="dxa"/>
          </w:tcPr>
          <w:p w:rsidR="00404695" w:rsidRPr="00675E3A" w:rsidRDefault="00A22524" w:rsidP="00675E3A">
            <w:pPr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16:3</w:t>
            </w:r>
            <w:r w:rsidR="00404695" w:rsidRPr="00675E3A">
              <w:rPr>
                <w:sz w:val="26"/>
                <w:szCs w:val="26"/>
              </w:rPr>
              <w:t>0-1</w:t>
            </w:r>
            <w:r w:rsidRPr="00675E3A">
              <w:rPr>
                <w:sz w:val="26"/>
                <w:szCs w:val="26"/>
              </w:rPr>
              <w:t>7</w:t>
            </w:r>
            <w:r w:rsidR="00404695" w:rsidRPr="00675E3A">
              <w:rPr>
                <w:sz w:val="26"/>
                <w:szCs w:val="26"/>
              </w:rPr>
              <w:t>:30</w:t>
            </w:r>
          </w:p>
        </w:tc>
        <w:tc>
          <w:tcPr>
            <w:tcW w:w="7682" w:type="dxa"/>
          </w:tcPr>
          <w:p w:rsidR="00404695" w:rsidRPr="00675E3A" w:rsidRDefault="00A22524" w:rsidP="00675E3A">
            <w:pPr>
              <w:spacing w:after="160"/>
              <w:jc w:val="both"/>
              <w:rPr>
                <w:sz w:val="26"/>
                <w:szCs w:val="26"/>
              </w:rPr>
            </w:pPr>
            <w:r w:rsidRPr="00675E3A">
              <w:rPr>
                <w:sz w:val="26"/>
                <w:szCs w:val="26"/>
              </w:rPr>
              <w:t>Cocktail</w:t>
            </w:r>
          </w:p>
        </w:tc>
      </w:tr>
    </w:tbl>
    <w:p w:rsidR="00E331E2" w:rsidRPr="00551D1D" w:rsidRDefault="00E331E2" w:rsidP="001F0E41">
      <w:pPr>
        <w:jc w:val="both"/>
        <w:rPr>
          <w:b/>
          <w:bCs/>
          <w:sz w:val="26"/>
          <w:szCs w:val="26"/>
        </w:rPr>
      </w:pPr>
    </w:p>
    <w:sectPr w:rsidR="00E331E2" w:rsidRPr="00551D1D" w:rsidSect="00BA4D6C">
      <w:footerReference w:type="default" r:id="rId9"/>
      <w:pgSz w:w="11906" w:h="16838"/>
      <w:pgMar w:top="125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E96" w:rsidRDefault="007F7E96">
      <w:r>
        <w:separator/>
      </w:r>
    </w:p>
  </w:endnote>
  <w:endnote w:type="continuationSeparator" w:id="0">
    <w:p w:rsidR="007F7E96" w:rsidRDefault="007F7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1E3" w:rsidRDefault="006241E3" w:rsidP="00ED5393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F0E41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E96" w:rsidRDefault="007F7E96">
      <w:r>
        <w:separator/>
      </w:r>
    </w:p>
  </w:footnote>
  <w:footnote w:type="continuationSeparator" w:id="0">
    <w:p w:rsidR="007F7E96" w:rsidRDefault="007F7E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E39D3"/>
    <w:multiLevelType w:val="hybridMultilevel"/>
    <w:tmpl w:val="23A260D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B16F8"/>
    <w:rsid w:val="000038B6"/>
    <w:rsid w:val="001922BB"/>
    <w:rsid w:val="001F0E41"/>
    <w:rsid w:val="002F0170"/>
    <w:rsid w:val="003610E5"/>
    <w:rsid w:val="00390FFD"/>
    <w:rsid w:val="003B4A76"/>
    <w:rsid w:val="003E2167"/>
    <w:rsid w:val="00404695"/>
    <w:rsid w:val="00522F69"/>
    <w:rsid w:val="00551D1D"/>
    <w:rsid w:val="005B06A1"/>
    <w:rsid w:val="005B367E"/>
    <w:rsid w:val="006241E3"/>
    <w:rsid w:val="006612E1"/>
    <w:rsid w:val="00667ACD"/>
    <w:rsid w:val="00675E3A"/>
    <w:rsid w:val="00731E24"/>
    <w:rsid w:val="00757ED7"/>
    <w:rsid w:val="007F7E96"/>
    <w:rsid w:val="008128F9"/>
    <w:rsid w:val="008250C1"/>
    <w:rsid w:val="00842548"/>
    <w:rsid w:val="009228D4"/>
    <w:rsid w:val="00936C98"/>
    <w:rsid w:val="00A12F59"/>
    <w:rsid w:val="00A22524"/>
    <w:rsid w:val="00A41CE9"/>
    <w:rsid w:val="00B312E7"/>
    <w:rsid w:val="00B50163"/>
    <w:rsid w:val="00BA4D6C"/>
    <w:rsid w:val="00BB16F8"/>
    <w:rsid w:val="00BF3C95"/>
    <w:rsid w:val="00C26521"/>
    <w:rsid w:val="00C92412"/>
    <w:rsid w:val="00CA3E66"/>
    <w:rsid w:val="00CB4CD2"/>
    <w:rsid w:val="00CE6A0E"/>
    <w:rsid w:val="00E16EAC"/>
    <w:rsid w:val="00E331E2"/>
    <w:rsid w:val="00E90543"/>
    <w:rsid w:val="00ED5393"/>
    <w:rsid w:val="00F50D42"/>
    <w:rsid w:val="00F8311B"/>
    <w:rsid w:val="00FC4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ED5393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ED5393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ED5393"/>
  </w:style>
  <w:style w:type="table" w:styleId="Grilledutableau">
    <w:name w:val="Table Grid"/>
    <w:basedOn w:val="TableauNormal"/>
    <w:rsid w:val="00E33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F0E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0E41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Uneca\Modeles\Entete%20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Entete F.dot</Template>
  <TotalTime>34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UNECA North Africa Office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sro-na</dc:creator>
  <cp:keywords/>
  <dc:description/>
  <cp:lastModifiedBy> </cp:lastModifiedBy>
  <cp:revision>4</cp:revision>
  <cp:lastPrinted>2011-12-13T17:09:00Z</cp:lastPrinted>
  <dcterms:created xsi:type="dcterms:W3CDTF">2011-12-13T16:31:00Z</dcterms:created>
  <dcterms:modified xsi:type="dcterms:W3CDTF">2011-12-13T19:03:00Z</dcterms:modified>
</cp:coreProperties>
</file>