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CA" w:rsidRDefault="00764FFA" w:rsidP="00F822D5">
      <w:pPr>
        <w:spacing w:after="80"/>
        <w:ind w:right="-142"/>
        <w:jc w:val="both"/>
        <w:rPr>
          <w:sz w:val="24"/>
          <w:szCs w:val="24"/>
          <w:u w:val="single"/>
        </w:rPr>
      </w:pPr>
      <w:r w:rsidRPr="00764FFA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.15pt;margin-top:-11.6pt;width:216.9pt;height:55.2pt;z-index:251658240" stroked="f">
            <v:textbox style="mso-next-textbox:#_x0000_s1027">
              <w:txbxContent>
                <w:p w:rsidR="00A94D19" w:rsidRPr="00A33CCA" w:rsidRDefault="00A94D19" w:rsidP="00113D1D">
                  <w:pPr>
                    <w:spacing w:after="0" w:line="240" w:lineRule="auto"/>
                    <w:rPr>
                      <w:b/>
                      <w:color w:val="0070C0"/>
                      <w:sz w:val="24"/>
                      <w:szCs w:val="24"/>
                    </w:rPr>
                  </w:pPr>
                  <w:r w:rsidRPr="00A33CCA">
                    <w:rPr>
                      <w:b/>
                      <w:color w:val="0070C0"/>
                      <w:sz w:val="24"/>
                      <w:szCs w:val="24"/>
                    </w:rPr>
                    <w:t xml:space="preserve">Nations Unies </w:t>
                  </w:r>
                </w:p>
                <w:p w:rsidR="00A94D19" w:rsidRPr="00A33CCA" w:rsidRDefault="00A94D19" w:rsidP="00113D1D">
                  <w:pPr>
                    <w:spacing w:after="0" w:line="240" w:lineRule="auto"/>
                    <w:rPr>
                      <w:b/>
                      <w:color w:val="0070C0"/>
                      <w:sz w:val="24"/>
                      <w:szCs w:val="24"/>
                    </w:rPr>
                  </w:pPr>
                  <w:r w:rsidRPr="00A33CCA">
                    <w:rPr>
                      <w:b/>
                      <w:color w:val="0070C0"/>
                      <w:sz w:val="24"/>
                      <w:szCs w:val="24"/>
                    </w:rPr>
                    <w:t xml:space="preserve">Commission économique pour l’Afrique </w:t>
                  </w:r>
                </w:p>
                <w:p w:rsidR="00A94D19" w:rsidRPr="00A33CCA" w:rsidRDefault="00A94D19" w:rsidP="00113D1D">
                  <w:pPr>
                    <w:spacing w:after="0" w:line="240" w:lineRule="auto"/>
                    <w:rPr>
                      <w:b/>
                      <w:color w:val="0070C0"/>
                      <w:sz w:val="24"/>
                      <w:szCs w:val="24"/>
                    </w:rPr>
                  </w:pPr>
                  <w:r w:rsidRPr="00A33CCA">
                    <w:rPr>
                      <w:b/>
                      <w:color w:val="0070C0"/>
                      <w:sz w:val="24"/>
                      <w:szCs w:val="24"/>
                    </w:rPr>
                    <w:t>Bureau pour l’Afrique du Nord</w:t>
                  </w:r>
                </w:p>
              </w:txbxContent>
            </v:textbox>
          </v:shape>
        </w:pict>
      </w:r>
      <w:r w:rsidR="00C25967"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-76835</wp:posOffset>
            </wp:positionH>
            <wp:positionV relativeFrom="margin">
              <wp:posOffset>-253365</wp:posOffset>
            </wp:positionV>
            <wp:extent cx="903605" cy="758825"/>
            <wp:effectExtent l="19050" t="0" r="0" b="0"/>
            <wp:wrapSquare wrapText="bothSides"/>
            <wp:docPr id="5" name="il_fi" descr="http://www.uneca.org/statistics/images/un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eca.org/statistics/images/un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1C40" w:rsidRDefault="007F1C40" w:rsidP="007F1C40">
      <w:pPr>
        <w:spacing w:after="80"/>
        <w:ind w:right="-142"/>
        <w:rPr>
          <w:sz w:val="24"/>
          <w:szCs w:val="24"/>
        </w:rPr>
      </w:pPr>
    </w:p>
    <w:p w:rsidR="006B7ECA" w:rsidRDefault="007A2A3C" w:rsidP="00221224">
      <w:pPr>
        <w:spacing w:after="80"/>
        <w:ind w:righ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Rabat, </w:t>
      </w:r>
      <w:r w:rsidR="00FE5922">
        <w:rPr>
          <w:sz w:val="24"/>
          <w:szCs w:val="24"/>
        </w:rPr>
        <w:t xml:space="preserve">1st Octobre, </w:t>
      </w:r>
      <w:r w:rsidR="006B7ECA" w:rsidRPr="006B7ECA">
        <w:rPr>
          <w:sz w:val="24"/>
          <w:szCs w:val="24"/>
        </w:rPr>
        <w:t xml:space="preserve"> 2012</w:t>
      </w:r>
    </w:p>
    <w:p w:rsidR="00FE5922" w:rsidRDefault="00FE5922" w:rsidP="00FE5922">
      <w:pPr>
        <w:shd w:val="clear" w:color="auto" w:fill="F5F5F5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fr-FR"/>
        </w:rPr>
      </w:pPr>
    </w:p>
    <w:p w:rsidR="00A33CCA" w:rsidRDefault="00A33CCA" w:rsidP="00FE5922">
      <w:pPr>
        <w:shd w:val="clear" w:color="auto" w:fill="F5F5F5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fr-FR"/>
        </w:rPr>
      </w:pPr>
    </w:p>
    <w:p w:rsidR="00A33CCA" w:rsidRDefault="00A33CCA" w:rsidP="00FE5922">
      <w:pPr>
        <w:shd w:val="clear" w:color="auto" w:fill="F5F5F5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fr-FR"/>
        </w:rPr>
      </w:pPr>
    </w:p>
    <w:p w:rsidR="00A33CCA" w:rsidRPr="00A33CCA" w:rsidRDefault="00FE5922" w:rsidP="00FE5922">
      <w:pPr>
        <w:shd w:val="clear" w:color="auto" w:fill="F5F5F5"/>
        <w:spacing w:after="0" w:line="240" w:lineRule="auto"/>
        <w:jc w:val="center"/>
        <w:textAlignment w:val="top"/>
        <w:rPr>
          <w:rFonts w:asciiTheme="majorHAnsi" w:eastAsia="Times New Roman" w:hAnsiTheme="majorHAnsi" w:cs="Times New Roman"/>
          <w:b/>
          <w:color w:val="333333"/>
          <w:sz w:val="32"/>
          <w:szCs w:val="32"/>
          <w:lang w:eastAsia="fr-FR"/>
        </w:rPr>
      </w:pPr>
      <w:r w:rsidRPr="00A33CCA">
        <w:rPr>
          <w:rFonts w:asciiTheme="majorHAnsi" w:eastAsia="Times New Roman" w:hAnsiTheme="majorHAnsi" w:cs="Times New Roman"/>
          <w:b/>
          <w:color w:val="333333"/>
          <w:sz w:val="32"/>
          <w:szCs w:val="32"/>
          <w:lang w:eastAsia="fr-FR"/>
        </w:rPr>
        <w:t xml:space="preserve">Expert Group Meeting in Tunis on </w:t>
      </w:r>
    </w:p>
    <w:p w:rsidR="00FE5922" w:rsidRPr="00A33CCA" w:rsidRDefault="00FE5922" w:rsidP="00FE5922">
      <w:pPr>
        <w:shd w:val="clear" w:color="auto" w:fill="F5F5F5"/>
        <w:spacing w:after="0" w:line="240" w:lineRule="auto"/>
        <w:jc w:val="center"/>
        <w:textAlignment w:val="top"/>
        <w:rPr>
          <w:rFonts w:asciiTheme="majorHAnsi" w:eastAsia="Times New Roman" w:hAnsiTheme="majorHAnsi" w:cs="Times New Roman"/>
          <w:color w:val="333333"/>
          <w:sz w:val="24"/>
          <w:szCs w:val="24"/>
          <w:u w:val="single"/>
          <w:lang w:eastAsia="fr-FR"/>
        </w:rPr>
      </w:pPr>
      <w:r w:rsidRPr="00A33CCA">
        <w:rPr>
          <w:rFonts w:asciiTheme="majorHAnsi" w:eastAsia="Times New Roman" w:hAnsiTheme="majorHAnsi" w:cs="Times New Roman"/>
          <w:b/>
          <w:color w:val="333333"/>
          <w:sz w:val="32"/>
          <w:szCs w:val="32"/>
          <w:lang w:eastAsia="fr-FR"/>
        </w:rPr>
        <w:t>Financing Renewable Energy Projects in North Africa</w:t>
      </w:r>
      <w:r w:rsidRPr="00A33CCA">
        <w:rPr>
          <w:rFonts w:asciiTheme="majorHAnsi" w:eastAsia="Times New Roman" w:hAnsiTheme="majorHAnsi" w:cs="Times New Roman"/>
          <w:b/>
          <w:color w:val="333333"/>
          <w:sz w:val="32"/>
          <w:szCs w:val="32"/>
          <w:u w:val="single"/>
          <w:lang w:eastAsia="fr-FR"/>
        </w:rPr>
        <w:br/>
      </w:r>
      <w:r w:rsidRPr="00A33CCA">
        <w:rPr>
          <w:rFonts w:asciiTheme="majorHAnsi" w:eastAsia="Times New Roman" w:hAnsiTheme="majorHAnsi" w:cs="Times New Roman"/>
          <w:b/>
          <w:color w:val="333333"/>
          <w:sz w:val="24"/>
          <w:szCs w:val="24"/>
          <w:u w:val="single"/>
          <w:lang w:eastAsia="fr-FR"/>
        </w:rPr>
        <w:br/>
      </w:r>
    </w:p>
    <w:p w:rsidR="00FE5922" w:rsidRPr="00A33CCA" w:rsidRDefault="00384F3D" w:rsidP="00FE5922">
      <w:pPr>
        <w:shd w:val="clear" w:color="auto" w:fill="F5F5F5"/>
        <w:spacing w:after="0" w:line="240" w:lineRule="auto"/>
        <w:jc w:val="center"/>
        <w:textAlignment w:val="top"/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</w:pPr>
      <w:r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>P</w:t>
      </w:r>
      <w:r w:rsidR="00FE5922"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 xml:space="preserve">romoting </w:t>
      </w:r>
      <w:r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>I</w:t>
      </w:r>
      <w:r w:rsidR="00FE5922"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 xml:space="preserve">nnovative </w:t>
      </w:r>
      <w:r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>F</w:t>
      </w:r>
      <w:r w:rsidR="00FE5922"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 xml:space="preserve">inancing </w:t>
      </w:r>
      <w:r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>M</w:t>
      </w:r>
      <w:r w:rsidR="00FE5922"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>echanisms</w:t>
      </w:r>
      <w:r w:rsidRPr="00A33CCA">
        <w:rPr>
          <w:rFonts w:ascii="Albertus" w:eastAsia="Times New Roman" w:hAnsi="Albertus" w:cs="Times New Roman"/>
          <w:b/>
          <w:color w:val="548DD4"/>
          <w:sz w:val="28"/>
          <w:szCs w:val="32"/>
          <w:lang w:eastAsia="fr-FR"/>
        </w:rPr>
        <w:t xml:space="preserve"> Is Key to Boost Renewable Energy </w:t>
      </w:r>
    </w:p>
    <w:p w:rsidR="00FE5922" w:rsidRDefault="00FE5922" w:rsidP="00FE5922">
      <w:pPr>
        <w:shd w:val="clear" w:color="auto" w:fill="F5F5F5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 w:rsidRPr="00555A9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fr-FR"/>
        </w:rPr>
        <w:br/>
      </w:r>
    </w:p>
    <w:p w:rsidR="00A33CCA" w:rsidRDefault="00A33CCA" w:rsidP="00FE5922">
      <w:pPr>
        <w:shd w:val="clear" w:color="auto" w:fill="F5F5F5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FE5922" w:rsidRDefault="00FE5922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 its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endeavour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to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support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the efforts of Member States for the development of renewable energy (RE) in North Africa, the Office for North Africa of the United Nations Economic Commission for Africa 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ECA)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launched in 2011 a 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p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roject on innovative and sustainable financing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of renewable energy (RE),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which aims to establish a knowled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ge base on these mechanisms and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strengthen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regional cooperation.</w:t>
      </w:r>
    </w:p>
    <w:p w:rsidR="00FE5922" w:rsidRDefault="00FE5922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FE5922" w:rsidRPr="001452FB" w:rsidRDefault="00FE5922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888888"/>
          <w:sz w:val="24"/>
          <w:szCs w:val="24"/>
          <w:lang w:val="en-US" w:eastAsia="fr-FR"/>
        </w:rPr>
      </w:pP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 study on "Innovative financing mechanisms for renewable energy in North Africa" conducted by the 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Office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underlined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inadequacy of existing regulatory measures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which remain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unattractive, as well as the limitations of conventional financial systems, especially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when it comes to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small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scale social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projects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. Highlighting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main experiences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that have been undertaken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in the region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,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 well as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lessons learned from international experience, the study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has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also identified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good practices </w:t>
      </w:r>
      <w:r w:rsidR="0095369C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that have been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implemented </w:t>
      </w:r>
      <w:r w:rsidR="0095369C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 this area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by some countries, while offering a range of options 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which are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tailored to the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specificities of North Africa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region.</w:t>
      </w:r>
    </w:p>
    <w:p w:rsidR="00FE5922" w:rsidRPr="001452FB" w:rsidRDefault="00FE5922" w:rsidP="00FE592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E5922" w:rsidRPr="001452FB" w:rsidRDefault="00FE5922" w:rsidP="00FE5922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1452FB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Haut du formulaire</w:t>
      </w:r>
    </w:p>
    <w:p w:rsidR="00FE5922" w:rsidRDefault="00FE5922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The study call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ed also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for funding based on Public-Private Partnership, a</w:t>
      </w:r>
      <w:r w:rsidR="0095369C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nd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for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mobilization of financial resources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that are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predictable and stable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th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rough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specific mechanisms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that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combine different incentive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s, according to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nature of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projects and the level of risk they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would entail.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It also emphasize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d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the importance of technical and financial partnership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to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meet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the needs of local industrial development (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 terms of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research, technology transfer, local capacity building), which is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part and parcel of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strategies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that have been developed 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so far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to promote the renewable energy sector. </w:t>
      </w:r>
    </w:p>
    <w:p w:rsidR="005308E4" w:rsidRDefault="00FE5922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hAnsi="Times New Roman" w:cs="Times New Roman"/>
          <w:color w:val="333333"/>
          <w:sz w:val="24"/>
          <w:szCs w:val="24"/>
          <w:lang/>
        </w:rPr>
      </w:pP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 order to share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findings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of this new study with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various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stakeholders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,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and exchange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information and views on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good practices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that have been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identified, the ECA Office for North Africa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is holding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an </w:t>
      </w:r>
      <w:r w:rsidRPr="005308E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fr-FR"/>
        </w:rPr>
        <w:t>Expert Group Meeting in Tunis (Tunisia), from 3 to 5 October 2012 (Novotel Hotel)</w:t>
      </w:r>
      <w:proofErr w:type="gramStart"/>
      <w:r w:rsidR="0095369C" w:rsidRPr="005308E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fr-FR"/>
        </w:rPr>
        <w:t>,</w:t>
      </w:r>
      <w:r w:rsidR="0095369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fr-FR"/>
        </w:rPr>
        <w:t xml:space="preserve">  </w:t>
      </w:r>
      <w:r w:rsidR="0095369C" w:rsidRPr="0095369C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expected</w:t>
      </w:r>
      <w:proofErr w:type="gramEnd"/>
      <w:r w:rsidR="0095369C" w:rsidRPr="0095369C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to</w:t>
      </w:r>
      <w:r w:rsidR="0095369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bring together experts from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North Africa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region,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as well as representatives of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national institutions, regional and international organizations, regional projects and various banking and financial institutions. The private sector, the UN system and development partners will also be represented.</w:t>
      </w:r>
      <w:r w:rsidR="0095369C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br/>
      </w:r>
    </w:p>
    <w:p w:rsidR="00A33CCA" w:rsidRDefault="00A33CCA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hAnsi="Times New Roman" w:cs="Times New Roman"/>
          <w:color w:val="333333"/>
          <w:sz w:val="24"/>
          <w:szCs w:val="24"/>
          <w:lang/>
        </w:rPr>
      </w:pPr>
    </w:p>
    <w:p w:rsidR="00A33CCA" w:rsidRDefault="00A33CCA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hAnsi="Times New Roman" w:cs="Times New Roman"/>
          <w:color w:val="333333"/>
          <w:sz w:val="24"/>
          <w:szCs w:val="24"/>
          <w:lang/>
        </w:rPr>
      </w:pPr>
    </w:p>
    <w:p w:rsidR="00FE5922" w:rsidRPr="001452FB" w:rsidRDefault="005308E4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>
        <w:rPr>
          <w:rFonts w:ascii="Times New Roman" w:hAnsi="Times New Roman" w:cs="Times New Roman"/>
          <w:color w:val="333333"/>
          <w:sz w:val="24"/>
          <w:szCs w:val="24"/>
          <w:lang/>
        </w:rPr>
        <w:lastRenderedPageBreak/>
        <w:t>The specific objectives of the meeting are:</w:t>
      </w:r>
    </w:p>
    <w:p w:rsidR="00FE5922" w:rsidRDefault="00FE5922" w:rsidP="00FE5922">
      <w:pPr>
        <w:shd w:val="clear" w:color="auto" w:fill="F5F5F5"/>
        <w:spacing w:after="0" w:line="240" w:lineRule="auto"/>
        <w:jc w:val="both"/>
        <w:textAlignment w:val="top"/>
        <w:rPr>
          <w:rFonts w:ascii="Times New Roman" w:hAnsi="Times New Roman" w:cs="Times New Roman"/>
          <w:color w:val="333333"/>
          <w:sz w:val="24"/>
          <w:szCs w:val="24"/>
          <w:lang/>
        </w:rPr>
      </w:pPr>
    </w:p>
    <w:p w:rsidR="0095369C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To a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nalyze the challenges of financing renewable energ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ies i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n the region and share successful experiences in this field, through broader consultation between public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and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private operators, financial institutions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,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and development partners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who are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involved in th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sector;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br/>
      </w:r>
    </w:p>
    <w:p w:rsidR="00A33CCA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2.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To formulate c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oncrete recommendations for the adoption of innovative financing instruments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on the basis of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good practices </w:t>
      </w:r>
      <w:r w:rsidR="008C6AD0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showcased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in this study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, the various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experiments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to be expounded </w:t>
      </w:r>
      <w:r w:rsidR="008C6AD0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during the meeting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and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discussions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that will take place</w:t>
      </w:r>
      <w:r w:rsidR="008C6AD0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. </w:t>
      </w:r>
    </w:p>
    <w:p w:rsidR="005308E4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It is to be recalled that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in the framework of th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same project on innovative financing mechanisms for renewable energy in </w:t>
      </w:r>
      <w:r w:rsidR="008C6AD0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region,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ECA Office has published a landmark study on the situation of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renewable energy i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North Africa that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highlight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ed the important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potential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region boasts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in 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his area, as well as its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contribution to the energy mix</w:t>
      </w:r>
      <w:r w:rsidR="008C6AD0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which is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still marginal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though. </w:t>
      </w:r>
    </w:p>
    <w:p w:rsidR="005308E4" w:rsidRDefault="005308E4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A33CCA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Additionally, the study focused on challenges experienced by this sector, but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also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on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crucial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breakthroughs and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economic, social and environmental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dividends they have generated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 study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call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ed upon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countries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 the region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sustain the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reforms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they have already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undertaken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so as to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create the necessary conditions for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 greater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involvement of the private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and banking sectors in financing renewable energy projects</w:t>
      </w:r>
      <w:r w:rsidR="005308E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and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the establishment of a regional market.</w:t>
      </w:r>
    </w:p>
    <w:p w:rsidR="0095369C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95369C" w:rsidRPr="001452FB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It is within this context that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ECA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’s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Office for North Africa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intervenes. Its aim, as stated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by its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D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irector M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r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s. Karima Bounemra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Ben Soltane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,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is to “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work to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wards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creat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ing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a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regional cooperation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dynamic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s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through this promising sector of renewable energy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, which needs further boosting within the broader perspective of </w:t>
      </w:r>
      <w:r w:rsidR="002E114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regional development that is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integrated and </w:t>
      </w:r>
      <w:r w:rsidR="002E114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>sustainable.”</w:t>
      </w:r>
      <w:r w:rsidR="00DC45F4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  <w:r w:rsidRPr="001452FB"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  <w:t xml:space="preserve"> </w:t>
      </w:r>
    </w:p>
    <w:p w:rsidR="0095369C" w:rsidRPr="001452FB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95369C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95369C" w:rsidRDefault="0095369C" w:rsidP="0095369C">
      <w:pPr>
        <w:shd w:val="clear" w:color="auto" w:fill="F5F5F5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95369C" w:rsidRPr="0016561A" w:rsidRDefault="0095369C" w:rsidP="0095369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  <w:lang/>
        </w:rPr>
      </w:pPr>
    </w:p>
    <w:sectPr w:rsidR="0095369C" w:rsidRPr="0016561A" w:rsidSect="00064A54">
      <w:footerReference w:type="default" r:id="rId9"/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F7C" w:rsidRDefault="00522F7C" w:rsidP="00766493">
      <w:pPr>
        <w:spacing w:after="0" w:line="240" w:lineRule="auto"/>
      </w:pPr>
      <w:r>
        <w:separator/>
      </w:r>
    </w:p>
  </w:endnote>
  <w:endnote w:type="continuationSeparator" w:id="0">
    <w:p w:rsidR="00522F7C" w:rsidRDefault="00522F7C" w:rsidP="00766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bertus">
    <w:altName w:val="Albertus Extra Bold"/>
    <w:charset w:val="00"/>
    <w:family w:val="swiss"/>
    <w:pitch w:val="variable"/>
    <w:sig w:usb0="00000001" w:usb1="00000000" w:usb2="00000000" w:usb3="00000000" w:csb0="00000093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93" w:rsidRPr="00766493" w:rsidRDefault="00766493" w:rsidP="003B7B72">
    <w:pPr>
      <w:pStyle w:val="Pieddepage"/>
      <w:pBdr>
        <w:top w:val="single" w:sz="12" w:space="1" w:color="auto"/>
      </w:pBdr>
      <w:jc w:val="center"/>
    </w:pPr>
    <w:r w:rsidRPr="00766493">
      <w:t>Contacts presse : Tél : +212 537 71 78 29 / 71 56 13 - Fax: +212 537 71 27 02</w:t>
    </w:r>
  </w:p>
  <w:p w:rsidR="00766493" w:rsidRPr="002E722F" w:rsidRDefault="00766493" w:rsidP="003B7B72">
    <w:pPr>
      <w:pStyle w:val="Pieddepage"/>
      <w:pBdr>
        <w:top w:val="single" w:sz="12" w:space="1" w:color="auto"/>
      </w:pBdr>
      <w:jc w:val="center"/>
    </w:pPr>
    <w:r w:rsidRPr="002E722F">
      <w:t xml:space="preserve">Email : </w:t>
    </w:r>
    <w:hyperlink r:id="rId1" w:history="1">
      <w:r w:rsidRPr="002E722F">
        <w:rPr>
          <w:rStyle w:val="Lienhypertexte"/>
        </w:rPr>
        <w:t>srdc-na@uneca.org</w:t>
      </w:r>
    </w:hyperlink>
    <w:r w:rsidRPr="002E722F">
      <w:t xml:space="preserve"> – Site web : www.uneca-an.org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F7C" w:rsidRDefault="00522F7C" w:rsidP="00766493">
      <w:pPr>
        <w:spacing w:after="0" w:line="240" w:lineRule="auto"/>
      </w:pPr>
      <w:r>
        <w:separator/>
      </w:r>
    </w:p>
  </w:footnote>
  <w:footnote w:type="continuationSeparator" w:id="0">
    <w:p w:rsidR="00522F7C" w:rsidRDefault="00522F7C" w:rsidP="00766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71B09"/>
    <w:multiLevelType w:val="hybridMultilevel"/>
    <w:tmpl w:val="A5B22FF6"/>
    <w:lvl w:ilvl="0" w:tplc="E3E463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19"/>
    <w:rsid w:val="0000022E"/>
    <w:rsid w:val="00006AAD"/>
    <w:rsid w:val="000073C6"/>
    <w:rsid w:val="00007F64"/>
    <w:rsid w:val="000226D3"/>
    <w:rsid w:val="00024533"/>
    <w:rsid w:val="000258BC"/>
    <w:rsid w:val="0002781E"/>
    <w:rsid w:val="00030B13"/>
    <w:rsid w:val="00031C96"/>
    <w:rsid w:val="0003593D"/>
    <w:rsid w:val="00035F84"/>
    <w:rsid w:val="00047855"/>
    <w:rsid w:val="000505A5"/>
    <w:rsid w:val="0005572B"/>
    <w:rsid w:val="000569B9"/>
    <w:rsid w:val="00056CCB"/>
    <w:rsid w:val="0005713E"/>
    <w:rsid w:val="00064A54"/>
    <w:rsid w:val="000718A0"/>
    <w:rsid w:val="00076750"/>
    <w:rsid w:val="00076EDA"/>
    <w:rsid w:val="00081A8C"/>
    <w:rsid w:val="00082D55"/>
    <w:rsid w:val="00086C10"/>
    <w:rsid w:val="00092F33"/>
    <w:rsid w:val="00096ADD"/>
    <w:rsid w:val="000A093B"/>
    <w:rsid w:val="000A51E2"/>
    <w:rsid w:val="000A7AD2"/>
    <w:rsid w:val="000B102C"/>
    <w:rsid w:val="000B6F8A"/>
    <w:rsid w:val="000C505F"/>
    <w:rsid w:val="000D428C"/>
    <w:rsid w:val="000D52A9"/>
    <w:rsid w:val="000D5868"/>
    <w:rsid w:val="000E1492"/>
    <w:rsid w:val="000E4209"/>
    <w:rsid w:val="000F054E"/>
    <w:rsid w:val="000F05D6"/>
    <w:rsid w:val="000F52D8"/>
    <w:rsid w:val="00110C7A"/>
    <w:rsid w:val="00113D1D"/>
    <w:rsid w:val="001145BD"/>
    <w:rsid w:val="00114885"/>
    <w:rsid w:val="00117464"/>
    <w:rsid w:val="00155230"/>
    <w:rsid w:val="00156043"/>
    <w:rsid w:val="00161F33"/>
    <w:rsid w:val="0016546F"/>
    <w:rsid w:val="001901A1"/>
    <w:rsid w:val="0019304F"/>
    <w:rsid w:val="001933DC"/>
    <w:rsid w:val="00197010"/>
    <w:rsid w:val="001A4CC8"/>
    <w:rsid w:val="001B422C"/>
    <w:rsid w:val="001B4A73"/>
    <w:rsid w:val="001D1EAC"/>
    <w:rsid w:val="001E06A8"/>
    <w:rsid w:val="001F1F10"/>
    <w:rsid w:val="001F25E1"/>
    <w:rsid w:val="001F44BD"/>
    <w:rsid w:val="002002F9"/>
    <w:rsid w:val="002026C5"/>
    <w:rsid w:val="00207384"/>
    <w:rsid w:val="00210DB3"/>
    <w:rsid w:val="00214924"/>
    <w:rsid w:val="00221224"/>
    <w:rsid w:val="002218FF"/>
    <w:rsid w:val="002238CC"/>
    <w:rsid w:val="00224460"/>
    <w:rsid w:val="00230B6C"/>
    <w:rsid w:val="00232D08"/>
    <w:rsid w:val="00236786"/>
    <w:rsid w:val="002436E7"/>
    <w:rsid w:val="00250403"/>
    <w:rsid w:val="00253A89"/>
    <w:rsid w:val="00254545"/>
    <w:rsid w:val="00264833"/>
    <w:rsid w:val="002666D6"/>
    <w:rsid w:val="002743EB"/>
    <w:rsid w:val="002812A0"/>
    <w:rsid w:val="00281FF6"/>
    <w:rsid w:val="00285BF6"/>
    <w:rsid w:val="00287EA2"/>
    <w:rsid w:val="0029077B"/>
    <w:rsid w:val="00297371"/>
    <w:rsid w:val="002A124F"/>
    <w:rsid w:val="002A5539"/>
    <w:rsid w:val="002A7755"/>
    <w:rsid w:val="002B072A"/>
    <w:rsid w:val="002B1F47"/>
    <w:rsid w:val="002B3A46"/>
    <w:rsid w:val="002B7431"/>
    <w:rsid w:val="002C21D4"/>
    <w:rsid w:val="002C4F89"/>
    <w:rsid w:val="002C731F"/>
    <w:rsid w:val="002D0940"/>
    <w:rsid w:val="002D3877"/>
    <w:rsid w:val="002E06C9"/>
    <w:rsid w:val="002E114B"/>
    <w:rsid w:val="002E124C"/>
    <w:rsid w:val="002E3D6C"/>
    <w:rsid w:val="002E5292"/>
    <w:rsid w:val="002E722F"/>
    <w:rsid w:val="002F43C0"/>
    <w:rsid w:val="0030745F"/>
    <w:rsid w:val="00327752"/>
    <w:rsid w:val="00340CB3"/>
    <w:rsid w:val="00342626"/>
    <w:rsid w:val="003467A8"/>
    <w:rsid w:val="0035261B"/>
    <w:rsid w:val="00353098"/>
    <w:rsid w:val="00354E26"/>
    <w:rsid w:val="00354FCA"/>
    <w:rsid w:val="0037022A"/>
    <w:rsid w:val="00372286"/>
    <w:rsid w:val="00382477"/>
    <w:rsid w:val="00384232"/>
    <w:rsid w:val="00384F3D"/>
    <w:rsid w:val="003904A0"/>
    <w:rsid w:val="00396E8D"/>
    <w:rsid w:val="003A05C1"/>
    <w:rsid w:val="003A54E4"/>
    <w:rsid w:val="003B18FD"/>
    <w:rsid w:val="003B6B1D"/>
    <w:rsid w:val="003B7B72"/>
    <w:rsid w:val="003C774A"/>
    <w:rsid w:val="003D34E3"/>
    <w:rsid w:val="003D37A3"/>
    <w:rsid w:val="003E0A50"/>
    <w:rsid w:val="003E615F"/>
    <w:rsid w:val="003F271E"/>
    <w:rsid w:val="003F5D2E"/>
    <w:rsid w:val="004148E3"/>
    <w:rsid w:val="004153D1"/>
    <w:rsid w:val="00422A80"/>
    <w:rsid w:val="00422D22"/>
    <w:rsid w:val="00424F58"/>
    <w:rsid w:val="00426EC5"/>
    <w:rsid w:val="00427665"/>
    <w:rsid w:val="00427CE0"/>
    <w:rsid w:val="00430564"/>
    <w:rsid w:val="0043284A"/>
    <w:rsid w:val="004331AB"/>
    <w:rsid w:val="004348B3"/>
    <w:rsid w:val="00441C67"/>
    <w:rsid w:val="00442648"/>
    <w:rsid w:val="00443678"/>
    <w:rsid w:val="004511F3"/>
    <w:rsid w:val="004556E7"/>
    <w:rsid w:val="004618B3"/>
    <w:rsid w:val="00471C03"/>
    <w:rsid w:val="00485B2B"/>
    <w:rsid w:val="00486457"/>
    <w:rsid w:val="00487B59"/>
    <w:rsid w:val="0049065D"/>
    <w:rsid w:val="00496F37"/>
    <w:rsid w:val="004A020E"/>
    <w:rsid w:val="004A1824"/>
    <w:rsid w:val="004A34A3"/>
    <w:rsid w:val="004A36A1"/>
    <w:rsid w:val="004B6804"/>
    <w:rsid w:val="004B6871"/>
    <w:rsid w:val="004D0709"/>
    <w:rsid w:val="004D364B"/>
    <w:rsid w:val="004D5D45"/>
    <w:rsid w:val="004D698A"/>
    <w:rsid w:val="004D798D"/>
    <w:rsid w:val="004E3145"/>
    <w:rsid w:val="004F0193"/>
    <w:rsid w:val="004F52CE"/>
    <w:rsid w:val="005114E9"/>
    <w:rsid w:val="005160CB"/>
    <w:rsid w:val="00522C3D"/>
    <w:rsid w:val="00522F7C"/>
    <w:rsid w:val="005308E4"/>
    <w:rsid w:val="00532006"/>
    <w:rsid w:val="00535C00"/>
    <w:rsid w:val="00545579"/>
    <w:rsid w:val="00565189"/>
    <w:rsid w:val="005676D8"/>
    <w:rsid w:val="00592156"/>
    <w:rsid w:val="00592DB3"/>
    <w:rsid w:val="00594488"/>
    <w:rsid w:val="005971F2"/>
    <w:rsid w:val="005A04DC"/>
    <w:rsid w:val="005A36AD"/>
    <w:rsid w:val="005A6C05"/>
    <w:rsid w:val="005B114A"/>
    <w:rsid w:val="005B76D5"/>
    <w:rsid w:val="005C239B"/>
    <w:rsid w:val="005C376B"/>
    <w:rsid w:val="005C6DBD"/>
    <w:rsid w:val="005C70B4"/>
    <w:rsid w:val="005D25D6"/>
    <w:rsid w:val="005D69F0"/>
    <w:rsid w:val="005D774F"/>
    <w:rsid w:val="005E2B83"/>
    <w:rsid w:val="005E6268"/>
    <w:rsid w:val="005F032F"/>
    <w:rsid w:val="005F3AB9"/>
    <w:rsid w:val="005F4AA8"/>
    <w:rsid w:val="005F6129"/>
    <w:rsid w:val="005F756A"/>
    <w:rsid w:val="006064E8"/>
    <w:rsid w:val="00607D1B"/>
    <w:rsid w:val="00620A6E"/>
    <w:rsid w:val="00620E72"/>
    <w:rsid w:val="006216F8"/>
    <w:rsid w:val="006258F6"/>
    <w:rsid w:val="00634AF1"/>
    <w:rsid w:val="00637138"/>
    <w:rsid w:val="00653161"/>
    <w:rsid w:val="006535FE"/>
    <w:rsid w:val="00655E78"/>
    <w:rsid w:val="00656643"/>
    <w:rsid w:val="006608A1"/>
    <w:rsid w:val="00670804"/>
    <w:rsid w:val="00676DCB"/>
    <w:rsid w:val="00676F66"/>
    <w:rsid w:val="00681AF1"/>
    <w:rsid w:val="00687F6D"/>
    <w:rsid w:val="006B0DC6"/>
    <w:rsid w:val="006B420D"/>
    <w:rsid w:val="006B7642"/>
    <w:rsid w:val="006B7ECA"/>
    <w:rsid w:val="006D10DE"/>
    <w:rsid w:val="006D3139"/>
    <w:rsid w:val="006D5304"/>
    <w:rsid w:val="006F1091"/>
    <w:rsid w:val="006F3749"/>
    <w:rsid w:val="006F61E0"/>
    <w:rsid w:val="007011A0"/>
    <w:rsid w:val="0071058D"/>
    <w:rsid w:val="00720B85"/>
    <w:rsid w:val="00733C8D"/>
    <w:rsid w:val="007379D2"/>
    <w:rsid w:val="00740F6C"/>
    <w:rsid w:val="0074304C"/>
    <w:rsid w:val="00743594"/>
    <w:rsid w:val="0074672B"/>
    <w:rsid w:val="007546BD"/>
    <w:rsid w:val="00756542"/>
    <w:rsid w:val="007577D5"/>
    <w:rsid w:val="007627DA"/>
    <w:rsid w:val="00764FFA"/>
    <w:rsid w:val="00766493"/>
    <w:rsid w:val="00772857"/>
    <w:rsid w:val="00777959"/>
    <w:rsid w:val="007816A4"/>
    <w:rsid w:val="0078347E"/>
    <w:rsid w:val="007853E2"/>
    <w:rsid w:val="00785B2A"/>
    <w:rsid w:val="007A2A3C"/>
    <w:rsid w:val="007B6EDC"/>
    <w:rsid w:val="007C53B4"/>
    <w:rsid w:val="007C5984"/>
    <w:rsid w:val="007C5AA1"/>
    <w:rsid w:val="007C7EE2"/>
    <w:rsid w:val="007D35CE"/>
    <w:rsid w:val="007E3834"/>
    <w:rsid w:val="007E7791"/>
    <w:rsid w:val="007F0780"/>
    <w:rsid w:val="007F0D61"/>
    <w:rsid w:val="007F1C40"/>
    <w:rsid w:val="00801B67"/>
    <w:rsid w:val="00802C28"/>
    <w:rsid w:val="0080666E"/>
    <w:rsid w:val="00807BB3"/>
    <w:rsid w:val="00810C8C"/>
    <w:rsid w:val="00811296"/>
    <w:rsid w:val="00812CDC"/>
    <w:rsid w:val="008132E1"/>
    <w:rsid w:val="00813665"/>
    <w:rsid w:val="0081376D"/>
    <w:rsid w:val="008218CE"/>
    <w:rsid w:val="0082494D"/>
    <w:rsid w:val="008335F4"/>
    <w:rsid w:val="008340AC"/>
    <w:rsid w:val="00834A70"/>
    <w:rsid w:val="008359E7"/>
    <w:rsid w:val="00840A12"/>
    <w:rsid w:val="00846DE1"/>
    <w:rsid w:val="00853879"/>
    <w:rsid w:val="00854DB0"/>
    <w:rsid w:val="00856269"/>
    <w:rsid w:val="0085782F"/>
    <w:rsid w:val="00873056"/>
    <w:rsid w:val="00884B26"/>
    <w:rsid w:val="00884F82"/>
    <w:rsid w:val="00894ECF"/>
    <w:rsid w:val="008A2401"/>
    <w:rsid w:val="008A31BA"/>
    <w:rsid w:val="008A6632"/>
    <w:rsid w:val="008B44AE"/>
    <w:rsid w:val="008B4BF9"/>
    <w:rsid w:val="008B4C50"/>
    <w:rsid w:val="008C2D8F"/>
    <w:rsid w:val="008C30D4"/>
    <w:rsid w:val="008C316F"/>
    <w:rsid w:val="008C5A24"/>
    <w:rsid w:val="008C6AD0"/>
    <w:rsid w:val="008D5A46"/>
    <w:rsid w:val="008E7AAC"/>
    <w:rsid w:val="008F2AC4"/>
    <w:rsid w:val="008F66C4"/>
    <w:rsid w:val="008F6906"/>
    <w:rsid w:val="00900C10"/>
    <w:rsid w:val="0090789E"/>
    <w:rsid w:val="00907F17"/>
    <w:rsid w:val="00910BD0"/>
    <w:rsid w:val="00911B99"/>
    <w:rsid w:val="00913320"/>
    <w:rsid w:val="00932DB1"/>
    <w:rsid w:val="0095078A"/>
    <w:rsid w:val="0095369C"/>
    <w:rsid w:val="00957BFB"/>
    <w:rsid w:val="009608BF"/>
    <w:rsid w:val="0096686F"/>
    <w:rsid w:val="00974F25"/>
    <w:rsid w:val="00983FB7"/>
    <w:rsid w:val="0098425D"/>
    <w:rsid w:val="009859AA"/>
    <w:rsid w:val="00987CA6"/>
    <w:rsid w:val="00996F4F"/>
    <w:rsid w:val="009A2A51"/>
    <w:rsid w:val="009A38DB"/>
    <w:rsid w:val="009A5156"/>
    <w:rsid w:val="009C0318"/>
    <w:rsid w:val="009C407F"/>
    <w:rsid w:val="009C4421"/>
    <w:rsid w:val="009C5CF1"/>
    <w:rsid w:val="009C6828"/>
    <w:rsid w:val="009E3DAB"/>
    <w:rsid w:val="00A0402A"/>
    <w:rsid w:val="00A13098"/>
    <w:rsid w:val="00A33CCA"/>
    <w:rsid w:val="00A367B7"/>
    <w:rsid w:val="00A41E1C"/>
    <w:rsid w:val="00A505EA"/>
    <w:rsid w:val="00A50A07"/>
    <w:rsid w:val="00A53591"/>
    <w:rsid w:val="00A62785"/>
    <w:rsid w:val="00A73C31"/>
    <w:rsid w:val="00A80C1A"/>
    <w:rsid w:val="00A93145"/>
    <w:rsid w:val="00A94D19"/>
    <w:rsid w:val="00AA3416"/>
    <w:rsid w:val="00AA46A0"/>
    <w:rsid w:val="00AA796F"/>
    <w:rsid w:val="00AA7D68"/>
    <w:rsid w:val="00AB0B5D"/>
    <w:rsid w:val="00AB475C"/>
    <w:rsid w:val="00AC061E"/>
    <w:rsid w:val="00AC28FA"/>
    <w:rsid w:val="00AC4645"/>
    <w:rsid w:val="00AD066B"/>
    <w:rsid w:val="00AD4729"/>
    <w:rsid w:val="00AD52F3"/>
    <w:rsid w:val="00AE13AA"/>
    <w:rsid w:val="00AE2E93"/>
    <w:rsid w:val="00AF1FC2"/>
    <w:rsid w:val="00AF28E4"/>
    <w:rsid w:val="00AF691C"/>
    <w:rsid w:val="00AF71B7"/>
    <w:rsid w:val="00AF739B"/>
    <w:rsid w:val="00B1101B"/>
    <w:rsid w:val="00B12F57"/>
    <w:rsid w:val="00B13F90"/>
    <w:rsid w:val="00B15F94"/>
    <w:rsid w:val="00B204C8"/>
    <w:rsid w:val="00B22F38"/>
    <w:rsid w:val="00B3251A"/>
    <w:rsid w:val="00B3446F"/>
    <w:rsid w:val="00B413CC"/>
    <w:rsid w:val="00B42F43"/>
    <w:rsid w:val="00B44045"/>
    <w:rsid w:val="00B44CD9"/>
    <w:rsid w:val="00B56E01"/>
    <w:rsid w:val="00B62CC2"/>
    <w:rsid w:val="00B631FD"/>
    <w:rsid w:val="00B700B4"/>
    <w:rsid w:val="00B728F7"/>
    <w:rsid w:val="00B81F99"/>
    <w:rsid w:val="00B84EBB"/>
    <w:rsid w:val="00B90987"/>
    <w:rsid w:val="00B92999"/>
    <w:rsid w:val="00B934D2"/>
    <w:rsid w:val="00BB0969"/>
    <w:rsid w:val="00BC192F"/>
    <w:rsid w:val="00BC5AAD"/>
    <w:rsid w:val="00BE6F8F"/>
    <w:rsid w:val="00BF2595"/>
    <w:rsid w:val="00BF376B"/>
    <w:rsid w:val="00BF5A50"/>
    <w:rsid w:val="00C0028F"/>
    <w:rsid w:val="00C0237A"/>
    <w:rsid w:val="00C024B2"/>
    <w:rsid w:val="00C06F06"/>
    <w:rsid w:val="00C10474"/>
    <w:rsid w:val="00C1786F"/>
    <w:rsid w:val="00C20236"/>
    <w:rsid w:val="00C2322A"/>
    <w:rsid w:val="00C25778"/>
    <w:rsid w:val="00C25967"/>
    <w:rsid w:val="00C46637"/>
    <w:rsid w:val="00C56032"/>
    <w:rsid w:val="00C62004"/>
    <w:rsid w:val="00C644CF"/>
    <w:rsid w:val="00C6627A"/>
    <w:rsid w:val="00C662F3"/>
    <w:rsid w:val="00C82B2E"/>
    <w:rsid w:val="00C848BC"/>
    <w:rsid w:val="00C84CAA"/>
    <w:rsid w:val="00C9735A"/>
    <w:rsid w:val="00CA2F71"/>
    <w:rsid w:val="00CA7FB1"/>
    <w:rsid w:val="00CB1C74"/>
    <w:rsid w:val="00CB4778"/>
    <w:rsid w:val="00CB668F"/>
    <w:rsid w:val="00CB6739"/>
    <w:rsid w:val="00CF227B"/>
    <w:rsid w:val="00CF3E71"/>
    <w:rsid w:val="00D00644"/>
    <w:rsid w:val="00D04EE0"/>
    <w:rsid w:val="00D06045"/>
    <w:rsid w:val="00D21556"/>
    <w:rsid w:val="00D25A94"/>
    <w:rsid w:val="00D26B96"/>
    <w:rsid w:val="00D30EE6"/>
    <w:rsid w:val="00D51F02"/>
    <w:rsid w:val="00D53A05"/>
    <w:rsid w:val="00D54A1D"/>
    <w:rsid w:val="00D5582E"/>
    <w:rsid w:val="00D56CC0"/>
    <w:rsid w:val="00D6020A"/>
    <w:rsid w:val="00D62D36"/>
    <w:rsid w:val="00D640D9"/>
    <w:rsid w:val="00D710FC"/>
    <w:rsid w:val="00D81CE8"/>
    <w:rsid w:val="00D85F26"/>
    <w:rsid w:val="00D9115F"/>
    <w:rsid w:val="00D958A0"/>
    <w:rsid w:val="00D96147"/>
    <w:rsid w:val="00DA42DC"/>
    <w:rsid w:val="00DA4ED2"/>
    <w:rsid w:val="00DA7DA7"/>
    <w:rsid w:val="00DB2858"/>
    <w:rsid w:val="00DC45F4"/>
    <w:rsid w:val="00DC65F1"/>
    <w:rsid w:val="00DD1D62"/>
    <w:rsid w:val="00DE6A49"/>
    <w:rsid w:val="00DF18EE"/>
    <w:rsid w:val="00DF544B"/>
    <w:rsid w:val="00E0419C"/>
    <w:rsid w:val="00E24FFF"/>
    <w:rsid w:val="00E270A4"/>
    <w:rsid w:val="00E35008"/>
    <w:rsid w:val="00E37A8C"/>
    <w:rsid w:val="00E37BDE"/>
    <w:rsid w:val="00E54FA1"/>
    <w:rsid w:val="00E57AE3"/>
    <w:rsid w:val="00E662B5"/>
    <w:rsid w:val="00E80B68"/>
    <w:rsid w:val="00E9754C"/>
    <w:rsid w:val="00E97757"/>
    <w:rsid w:val="00EA1834"/>
    <w:rsid w:val="00EB2FFB"/>
    <w:rsid w:val="00EB3BCF"/>
    <w:rsid w:val="00EB5B9F"/>
    <w:rsid w:val="00EB7B62"/>
    <w:rsid w:val="00EC2A4A"/>
    <w:rsid w:val="00ED424A"/>
    <w:rsid w:val="00ED7480"/>
    <w:rsid w:val="00EE3CFF"/>
    <w:rsid w:val="00EE4296"/>
    <w:rsid w:val="00EE47F1"/>
    <w:rsid w:val="00EE58C5"/>
    <w:rsid w:val="00EF0AAC"/>
    <w:rsid w:val="00EF1F07"/>
    <w:rsid w:val="00F11CE4"/>
    <w:rsid w:val="00F152AA"/>
    <w:rsid w:val="00F1603E"/>
    <w:rsid w:val="00F17738"/>
    <w:rsid w:val="00F20165"/>
    <w:rsid w:val="00F2653E"/>
    <w:rsid w:val="00F27250"/>
    <w:rsid w:val="00F34DE7"/>
    <w:rsid w:val="00F42A14"/>
    <w:rsid w:val="00F447E6"/>
    <w:rsid w:val="00F5148B"/>
    <w:rsid w:val="00F556BA"/>
    <w:rsid w:val="00F63C99"/>
    <w:rsid w:val="00F77113"/>
    <w:rsid w:val="00F81237"/>
    <w:rsid w:val="00F822D5"/>
    <w:rsid w:val="00F83CE6"/>
    <w:rsid w:val="00F86BCC"/>
    <w:rsid w:val="00F921C0"/>
    <w:rsid w:val="00F95B33"/>
    <w:rsid w:val="00F96784"/>
    <w:rsid w:val="00F96B4B"/>
    <w:rsid w:val="00FA0CA5"/>
    <w:rsid w:val="00FA125C"/>
    <w:rsid w:val="00FA2FB2"/>
    <w:rsid w:val="00FA43E3"/>
    <w:rsid w:val="00FA6FE6"/>
    <w:rsid w:val="00FB0C22"/>
    <w:rsid w:val="00FB7AF2"/>
    <w:rsid w:val="00FC042A"/>
    <w:rsid w:val="00FE09EE"/>
    <w:rsid w:val="00FE447B"/>
    <w:rsid w:val="00FE5922"/>
    <w:rsid w:val="00FE5FFA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2F"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66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66493"/>
  </w:style>
  <w:style w:type="paragraph" w:styleId="Pieddepage">
    <w:name w:val="footer"/>
    <w:basedOn w:val="Normal"/>
    <w:link w:val="PieddepageCar"/>
    <w:uiPriority w:val="99"/>
    <w:unhideWhenUsed/>
    <w:rsid w:val="00766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6493"/>
  </w:style>
  <w:style w:type="character" w:styleId="Lienhypertexte">
    <w:name w:val="Hyperlink"/>
    <w:basedOn w:val="Policepardfaut"/>
    <w:uiPriority w:val="99"/>
    <w:rsid w:val="00766493"/>
    <w:rPr>
      <w:color w:val="0000FF"/>
      <w:u w:val="single"/>
    </w:rPr>
  </w:style>
  <w:style w:type="paragraph" w:styleId="NormalWeb">
    <w:name w:val="Normal (Web)"/>
    <w:basedOn w:val="Normal"/>
    <w:uiPriority w:val="99"/>
    <w:rsid w:val="0016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4D69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rdc-na@uneca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A1D1B-1DEB-462C-A2F4-EE14E8D80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4282</CharactersWithSpaces>
  <SharedDoc>false</SharedDoc>
  <HLinks>
    <vt:vector size="6" baseType="variant">
      <vt:variant>
        <vt:i4>4194340</vt:i4>
      </vt:variant>
      <vt:variant>
        <vt:i4>0</vt:i4>
      </vt:variant>
      <vt:variant>
        <vt:i4>0</vt:i4>
      </vt:variant>
      <vt:variant>
        <vt:i4>5</vt:i4>
      </vt:variant>
      <vt:variant>
        <vt:lpwstr>mailto:srdc-na@uneca.org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srona7</dc:creator>
  <cp:keywords/>
  <cp:lastModifiedBy> </cp:lastModifiedBy>
  <cp:revision>3</cp:revision>
  <cp:lastPrinted>2012-10-02T12:27:00Z</cp:lastPrinted>
  <dcterms:created xsi:type="dcterms:W3CDTF">2012-10-02T12:27:00Z</dcterms:created>
  <dcterms:modified xsi:type="dcterms:W3CDTF">2012-10-02T12:31:00Z</dcterms:modified>
</cp:coreProperties>
</file>