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14325C" w:rsidTr="00ED7F3E">
        <w:tc>
          <w:tcPr>
            <w:tcW w:w="4606" w:type="dxa"/>
          </w:tcPr>
          <w:p w:rsidR="0014325C" w:rsidRDefault="0014325C" w:rsidP="00ED7F3E">
            <w:pPr>
              <w:jc w:val="center"/>
              <w:rPr>
                <w:rFonts w:ascii="Garamond" w:hAnsi="Garamond"/>
                <w:b/>
                <w:bCs/>
                <w:sz w:val="24"/>
                <w:szCs w:val="24"/>
              </w:rPr>
            </w:pPr>
            <w:r w:rsidRPr="00463F8F">
              <w:rPr>
                <w:rFonts w:ascii="Book Antiqua" w:hAnsi="Book Antiqua"/>
                <w:b/>
                <w:bCs/>
                <w:noProof/>
                <w:sz w:val="28"/>
                <w:szCs w:val="28"/>
                <w:lang w:val="en-US"/>
              </w:rPr>
              <w:drawing>
                <wp:inline distT="0" distB="0" distL="0" distR="0">
                  <wp:extent cx="2147267" cy="962025"/>
                  <wp:effectExtent l="0" t="0" r="0" b="0"/>
                  <wp:docPr id="1" name="Image 1" descr="C:\Users\LAP-007\MEF (Maghreb Economic Forum)\Site web\ppt\logo_m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007\MEF (Maghreb Economic Forum)\Site web\ppt\logo_mef.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6328" cy="970565"/>
                          </a:xfrm>
                          <a:prstGeom prst="rect">
                            <a:avLst/>
                          </a:prstGeom>
                          <a:noFill/>
                          <a:ln>
                            <a:noFill/>
                          </a:ln>
                        </pic:spPr>
                      </pic:pic>
                    </a:graphicData>
                  </a:graphic>
                </wp:inline>
              </w:drawing>
            </w:r>
          </w:p>
        </w:tc>
        <w:tc>
          <w:tcPr>
            <w:tcW w:w="4606" w:type="dxa"/>
          </w:tcPr>
          <w:p w:rsidR="0014325C" w:rsidRDefault="0014325C" w:rsidP="00ED7F3E">
            <w:pPr>
              <w:jc w:val="center"/>
              <w:rPr>
                <w:rFonts w:ascii="Garamond" w:hAnsi="Garamond"/>
                <w:b/>
                <w:bCs/>
                <w:sz w:val="24"/>
                <w:szCs w:val="24"/>
              </w:rPr>
            </w:pPr>
            <w:r w:rsidRPr="00463F8F">
              <w:rPr>
                <w:rFonts w:ascii="Garamond" w:hAnsi="Garamond"/>
                <w:b/>
                <w:bCs/>
                <w:noProof/>
                <w:sz w:val="24"/>
                <w:szCs w:val="24"/>
                <w:lang w:val="en-US"/>
              </w:rPr>
              <w:drawing>
                <wp:inline distT="0" distB="0" distL="0" distR="0">
                  <wp:extent cx="2171700" cy="1019175"/>
                  <wp:effectExtent l="0" t="0" r="0" b="0"/>
                  <wp:docPr id="6" name="Image 6" descr="C:\Users\LAP-007\Pictures\Commission_economique_des_Nations_Unies_pour_l_Afr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AP-007\Pictures\Commission_economique_des_Nations_Unies_pour_l_Afrique.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0982" cy="1018838"/>
                          </a:xfrm>
                          <a:prstGeom prst="rect">
                            <a:avLst/>
                          </a:prstGeom>
                          <a:noFill/>
                          <a:ln>
                            <a:noFill/>
                          </a:ln>
                        </pic:spPr>
                      </pic:pic>
                    </a:graphicData>
                  </a:graphic>
                </wp:inline>
              </w:drawing>
            </w:r>
          </w:p>
        </w:tc>
      </w:tr>
    </w:tbl>
    <w:p w:rsidR="0014325C" w:rsidRDefault="0014325C" w:rsidP="0014325C">
      <w:pPr>
        <w:jc w:val="center"/>
        <w:rPr>
          <w:rFonts w:ascii="Garamond" w:hAnsi="Garamond"/>
          <w:b/>
          <w:bCs/>
          <w:sz w:val="24"/>
          <w:szCs w:val="24"/>
        </w:rPr>
      </w:pPr>
    </w:p>
    <w:p w:rsidR="0014325C" w:rsidRDefault="0014325C" w:rsidP="0014325C">
      <w:pPr>
        <w:jc w:val="center"/>
        <w:rPr>
          <w:rFonts w:ascii="Garamond" w:hAnsi="Garamond"/>
          <w:b/>
          <w:bCs/>
          <w:sz w:val="24"/>
          <w:szCs w:val="24"/>
        </w:rPr>
      </w:pPr>
    </w:p>
    <w:p w:rsidR="0014325C" w:rsidRDefault="0014325C" w:rsidP="0014325C">
      <w:pPr>
        <w:jc w:val="center"/>
        <w:rPr>
          <w:rFonts w:ascii="Garamond" w:hAnsi="Garamond"/>
          <w:b/>
          <w:bCs/>
          <w:color w:val="1F497D" w:themeColor="text2"/>
          <w:sz w:val="24"/>
          <w:szCs w:val="24"/>
        </w:rPr>
      </w:pPr>
    </w:p>
    <w:p w:rsidR="0014325C" w:rsidRDefault="0014325C" w:rsidP="0014325C">
      <w:pPr>
        <w:jc w:val="center"/>
        <w:rPr>
          <w:rFonts w:ascii="Garamond" w:hAnsi="Garamond"/>
          <w:b/>
          <w:bCs/>
          <w:color w:val="1F497D" w:themeColor="text2"/>
          <w:sz w:val="24"/>
          <w:szCs w:val="24"/>
        </w:rPr>
      </w:pPr>
    </w:p>
    <w:p w:rsidR="0014325C" w:rsidRPr="00E333E1" w:rsidRDefault="0014325C" w:rsidP="0014325C">
      <w:pPr>
        <w:jc w:val="center"/>
        <w:rPr>
          <w:rFonts w:ascii="Garamond" w:hAnsi="Garamond"/>
          <w:b/>
          <w:bCs/>
          <w:color w:val="1F497D" w:themeColor="text2"/>
          <w:sz w:val="28"/>
          <w:szCs w:val="28"/>
        </w:rPr>
      </w:pPr>
      <w:r w:rsidRPr="00E333E1">
        <w:rPr>
          <w:rFonts w:ascii="Garamond" w:hAnsi="Garamond"/>
          <w:b/>
          <w:bCs/>
          <w:color w:val="1F497D" w:themeColor="text2"/>
          <w:sz w:val="28"/>
          <w:szCs w:val="28"/>
        </w:rPr>
        <w:t>TABLE RONDE</w:t>
      </w:r>
    </w:p>
    <w:p w:rsidR="0014325C" w:rsidRDefault="0014325C" w:rsidP="0014325C">
      <w:pPr>
        <w:jc w:val="center"/>
        <w:rPr>
          <w:rFonts w:ascii="Garamond" w:hAnsi="Garamond"/>
          <w:b/>
          <w:bCs/>
          <w:color w:val="1F497D" w:themeColor="text2"/>
          <w:sz w:val="28"/>
          <w:szCs w:val="28"/>
        </w:rPr>
      </w:pPr>
    </w:p>
    <w:p w:rsidR="0014325C" w:rsidRPr="00E333E1" w:rsidRDefault="0014325C" w:rsidP="0014325C">
      <w:pPr>
        <w:jc w:val="center"/>
        <w:rPr>
          <w:rFonts w:ascii="Garamond" w:hAnsi="Garamond"/>
          <w:b/>
          <w:bCs/>
          <w:color w:val="1F497D" w:themeColor="text2"/>
          <w:sz w:val="28"/>
          <w:szCs w:val="28"/>
        </w:rPr>
      </w:pPr>
    </w:p>
    <w:p w:rsidR="0014325C" w:rsidRPr="00B02FD7" w:rsidRDefault="0014325C" w:rsidP="0014325C">
      <w:pPr>
        <w:jc w:val="center"/>
        <w:rPr>
          <w:rFonts w:ascii="Garamond" w:hAnsi="Garamond"/>
          <w:b/>
          <w:bCs/>
          <w:color w:val="1F497D" w:themeColor="text2"/>
          <w:sz w:val="32"/>
          <w:szCs w:val="32"/>
        </w:rPr>
      </w:pPr>
      <w:r w:rsidRPr="00B02FD7">
        <w:rPr>
          <w:rFonts w:ascii="Garamond" w:hAnsi="Garamond"/>
          <w:b/>
          <w:bCs/>
          <w:color w:val="1F497D" w:themeColor="text2"/>
          <w:sz w:val="32"/>
          <w:szCs w:val="32"/>
        </w:rPr>
        <w:t xml:space="preserve">INTEGRATION FINANCIERE ET DEVELOPPEMENT DES COOPERATIONS </w:t>
      </w:r>
      <w:r>
        <w:rPr>
          <w:rFonts w:ascii="Garamond" w:hAnsi="Garamond"/>
          <w:b/>
          <w:bCs/>
          <w:color w:val="1F497D" w:themeColor="text2"/>
          <w:sz w:val="32"/>
          <w:szCs w:val="32"/>
        </w:rPr>
        <w:t>FONCTIONNELLES</w:t>
      </w:r>
      <w:r w:rsidRPr="00B02FD7">
        <w:rPr>
          <w:rFonts w:ascii="Garamond" w:hAnsi="Garamond"/>
          <w:b/>
          <w:bCs/>
          <w:color w:val="1F497D" w:themeColor="text2"/>
          <w:sz w:val="32"/>
          <w:szCs w:val="32"/>
        </w:rPr>
        <w:t xml:space="preserve"> EN AFRIQUE DU NORD: </w:t>
      </w:r>
    </w:p>
    <w:p w:rsidR="0014325C" w:rsidRPr="00B02FD7" w:rsidRDefault="0014325C" w:rsidP="0014325C">
      <w:pPr>
        <w:jc w:val="center"/>
        <w:rPr>
          <w:rFonts w:ascii="Garamond" w:hAnsi="Garamond"/>
          <w:b/>
          <w:bCs/>
          <w:color w:val="1F497D" w:themeColor="text2"/>
          <w:sz w:val="32"/>
          <w:szCs w:val="32"/>
        </w:rPr>
      </w:pPr>
      <w:r>
        <w:rPr>
          <w:rFonts w:ascii="Garamond" w:hAnsi="Garamond"/>
          <w:b/>
          <w:bCs/>
          <w:color w:val="1F497D" w:themeColor="text2"/>
          <w:sz w:val="32"/>
          <w:szCs w:val="32"/>
        </w:rPr>
        <w:t xml:space="preserve">LE ROLE DES ACTEURS </w:t>
      </w:r>
      <w:proofErr w:type="gramStart"/>
      <w:r>
        <w:rPr>
          <w:rFonts w:ascii="Garamond" w:hAnsi="Garamond"/>
          <w:b/>
          <w:bCs/>
          <w:color w:val="1F497D" w:themeColor="text2"/>
          <w:sz w:val="32"/>
          <w:szCs w:val="32"/>
        </w:rPr>
        <w:t>PRIVES</w:t>
      </w:r>
      <w:proofErr w:type="gramEnd"/>
    </w:p>
    <w:p w:rsidR="0014325C" w:rsidRDefault="0014325C" w:rsidP="0014325C">
      <w:pPr>
        <w:jc w:val="center"/>
        <w:rPr>
          <w:rFonts w:ascii="Garamond" w:hAnsi="Garamond"/>
          <w:b/>
          <w:bCs/>
          <w:color w:val="1F497D" w:themeColor="text2"/>
          <w:sz w:val="28"/>
          <w:szCs w:val="28"/>
        </w:rPr>
      </w:pPr>
    </w:p>
    <w:p w:rsidR="0014325C" w:rsidRPr="00E333E1" w:rsidRDefault="0014325C" w:rsidP="0014325C">
      <w:pPr>
        <w:jc w:val="center"/>
        <w:rPr>
          <w:rFonts w:ascii="Garamond" w:hAnsi="Garamond"/>
          <w:b/>
          <w:bCs/>
          <w:color w:val="1F497D" w:themeColor="text2"/>
          <w:sz w:val="28"/>
          <w:szCs w:val="28"/>
        </w:rPr>
      </w:pPr>
    </w:p>
    <w:p w:rsidR="0014325C" w:rsidRPr="00E333E1" w:rsidRDefault="0014325C" w:rsidP="0014325C">
      <w:pPr>
        <w:jc w:val="center"/>
        <w:rPr>
          <w:rFonts w:ascii="Garamond" w:hAnsi="Garamond"/>
          <w:b/>
          <w:bCs/>
          <w:color w:val="1F497D" w:themeColor="text2"/>
          <w:sz w:val="28"/>
          <w:szCs w:val="28"/>
        </w:rPr>
      </w:pPr>
      <w:r w:rsidRPr="00E333E1">
        <w:rPr>
          <w:rFonts w:ascii="Garamond" w:hAnsi="Garamond"/>
          <w:b/>
          <w:bCs/>
          <w:color w:val="1F497D" w:themeColor="text2"/>
          <w:sz w:val="28"/>
          <w:szCs w:val="28"/>
        </w:rPr>
        <w:t xml:space="preserve">8 octobre 2013 ; </w:t>
      </w:r>
      <w:r>
        <w:rPr>
          <w:rFonts w:ascii="Garamond" w:hAnsi="Garamond"/>
          <w:b/>
          <w:bCs/>
          <w:color w:val="1F497D" w:themeColor="text2"/>
          <w:sz w:val="28"/>
          <w:szCs w:val="28"/>
        </w:rPr>
        <w:t xml:space="preserve">Hôtel La Tour Hassan - </w:t>
      </w:r>
      <w:r w:rsidRPr="00E333E1">
        <w:rPr>
          <w:rFonts w:ascii="Garamond" w:hAnsi="Garamond"/>
          <w:b/>
          <w:bCs/>
          <w:color w:val="1F497D" w:themeColor="text2"/>
          <w:sz w:val="28"/>
          <w:szCs w:val="28"/>
        </w:rPr>
        <w:t>Rabat (Maroc)</w:t>
      </w:r>
    </w:p>
    <w:p w:rsidR="0014325C" w:rsidRDefault="0014325C" w:rsidP="0014325C">
      <w:pPr>
        <w:jc w:val="center"/>
        <w:rPr>
          <w:rFonts w:ascii="Garamond" w:hAnsi="Garamond"/>
          <w:b/>
          <w:bCs/>
          <w:color w:val="1F497D" w:themeColor="text2"/>
          <w:sz w:val="28"/>
          <w:szCs w:val="28"/>
        </w:rPr>
      </w:pPr>
    </w:p>
    <w:p w:rsidR="004D7F70" w:rsidRDefault="004D7F70" w:rsidP="0014325C">
      <w:pPr>
        <w:jc w:val="center"/>
        <w:rPr>
          <w:rFonts w:ascii="Garamond" w:hAnsi="Garamond"/>
          <w:b/>
          <w:bCs/>
          <w:color w:val="1F497D" w:themeColor="text2"/>
          <w:sz w:val="28"/>
          <w:szCs w:val="28"/>
        </w:rPr>
      </w:pPr>
    </w:p>
    <w:p w:rsidR="004D7F70" w:rsidRDefault="004D7F70" w:rsidP="0014325C">
      <w:pPr>
        <w:jc w:val="center"/>
        <w:rPr>
          <w:rFonts w:ascii="Garamond" w:hAnsi="Garamond"/>
          <w:b/>
          <w:bCs/>
          <w:color w:val="1F497D" w:themeColor="text2"/>
          <w:sz w:val="28"/>
          <w:szCs w:val="28"/>
        </w:rPr>
      </w:pPr>
      <w:r>
        <w:rPr>
          <w:rFonts w:ascii="Garamond" w:hAnsi="Garamond"/>
          <w:b/>
          <w:bCs/>
          <w:color w:val="1F497D" w:themeColor="text2"/>
          <w:sz w:val="28"/>
          <w:szCs w:val="28"/>
        </w:rPr>
        <w:t>Programme</w:t>
      </w:r>
    </w:p>
    <w:p w:rsidR="0014325C" w:rsidRDefault="0014325C">
      <w:pPr>
        <w:rPr>
          <w:rFonts w:ascii="Garamond" w:hAnsi="Garamond"/>
          <w:b/>
          <w:bCs/>
          <w:color w:val="1F497D" w:themeColor="text2"/>
          <w:sz w:val="28"/>
          <w:szCs w:val="28"/>
        </w:rPr>
      </w:pPr>
      <w:r>
        <w:rPr>
          <w:rFonts w:ascii="Garamond" w:hAnsi="Garamond"/>
          <w:b/>
          <w:bCs/>
          <w:color w:val="1F497D" w:themeColor="text2"/>
          <w:sz w:val="28"/>
          <w:szCs w:val="28"/>
        </w:rPr>
        <w:br w:type="page"/>
      </w:r>
    </w:p>
    <w:p w:rsidR="003D3232" w:rsidRPr="00231B08" w:rsidRDefault="0014325C" w:rsidP="00231B08">
      <w:pPr>
        <w:tabs>
          <w:tab w:val="left" w:pos="5115"/>
        </w:tabs>
        <w:jc w:val="center"/>
        <w:rPr>
          <w:rFonts w:ascii="Garamond" w:hAnsi="Garamond"/>
          <w:b/>
          <w:bCs/>
          <w:color w:val="1F497D" w:themeColor="text2"/>
          <w:sz w:val="40"/>
          <w:szCs w:val="40"/>
        </w:rPr>
      </w:pPr>
      <w:r w:rsidRPr="00231B08">
        <w:rPr>
          <w:rFonts w:ascii="Garamond" w:hAnsi="Garamond"/>
          <w:b/>
          <w:bCs/>
          <w:color w:val="1F497D" w:themeColor="text2"/>
          <w:sz w:val="40"/>
          <w:szCs w:val="40"/>
        </w:rPr>
        <w:lastRenderedPageBreak/>
        <w:t>PROGRAMME</w:t>
      </w:r>
      <w:bookmarkStart w:id="0" w:name="_GoBack"/>
      <w:bookmarkEnd w:id="0"/>
    </w:p>
    <w:p w:rsidR="00231B08" w:rsidRPr="008F44CA" w:rsidRDefault="00231B08" w:rsidP="00231B08">
      <w:pPr>
        <w:tabs>
          <w:tab w:val="left" w:pos="3245"/>
          <w:tab w:val="left" w:pos="5115"/>
        </w:tabs>
        <w:spacing w:after="0"/>
        <w:rPr>
          <w:rFonts w:ascii="Garamond" w:hAnsi="Garamond"/>
          <w:b/>
          <w:bCs/>
          <w:color w:val="1F497D" w:themeColor="text2"/>
          <w:sz w:val="36"/>
          <w:szCs w:val="36"/>
        </w:rPr>
      </w:pPr>
      <w:r>
        <w:rPr>
          <w:rFonts w:ascii="Garamond" w:hAnsi="Garamond"/>
          <w:b/>
          <w:bCs/>
          <w:color w:val="1F497D" w:themeColor="text2"/>
          <w:sz w:val="36"/>
          <w:szCs w:val="36"/>
        </w:rPr>
        <w:tab/>
      </w:r>
    </w:p>
    <w:p w:rsidR="003D3232" w:rsidRPr="008F44CA" w:rsidRDefault="003D3232" w:rsidP="00E80EE5">
      <w:pPr>
        <w:autoSpaceDE w:val="0"/>
        <w:autoSpaceDN w:val="0"/>
        <w:adjustRightInd w:val="0"/>
        <w:spacing w:after="0" w:line="360" w:lineRule="auto"/>
        <w:jc w:val="both"/>
        <w:rPr>
          <w:rFonts w:ascii="Garamond" w:hAnsi="Garamond"/>
          <w:b/>
          <w:bCs/>
          <w:color w:val="1F497D" w:themeColor="text2"/>
          <w:sz w:val="28"/>
          <w:szCs w:val="28"/>
        </w:rPr>
      </w:pPr>
      <w:r w:rsidRPr="008F44CA">
        <w:rPr>
          <w:rFonts w:ascii="Garamond" w:hAnsi="Garamond"/>
          <w:b/>
          <w:bCs/>
          <w:color w:val="1F497D" w:themeColor="text2"/>
          <w:sz w:val="28"/>
          <w:szCs w:val="28"/>
        </w:rPr>
        <w:t>8h15</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8h45</w:t>
      </w:r>
      <w:r w:rsidR="008F44CA">
        <w:rPr>
          <w:rFonts w:ascii="Garamond" w:hAnsi="Garamond"/>
          <w:b/>
          <w:bCs/>
          <w:color w:val="1F497D" w:themeColor="text2"/>
          <w:sz w:val="28"/>
          <w:szCs w:val="28"/>
        </w:rPr>
        <w:tab/>
      </w:r>
      <w:r w:rsidR="008F44CA">
        <w:rPr>
          <w:rFonts w:ascii="Garamond" w:hAnsi="Garamond"/>
          <w:b/>
          <w:bCs/>
          <w:color w:val="1F497D" w:themeColor="text2"/>
          <w:sz w:val="28"/>
          <w:szCs w:val="28"/>
        </w:rPr>
        <w:tab/>
      </w:r>
      <w:r w:rsidRPr="008F44CA">
        <w:rPr>
          <w:rFonts w:ascii="Garamond" w:hAnsi="Garamond"/>
          <w:color w:val="1F497D" w:themeColor="text2"/>
          <w:sz w:val="28"/>
          <w:szCs w:val="28"/>
        </w:rPr>
        <w:t>Accueil et enregistrement des participants</w:t>
      </w:r>
    </w:p>
    <w:p w:rsidR="003D3232" w:rsidRPr="008F44CA" w:rsidRDefault="003D3232"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8F44CA" w:rsidRDefault="003D3232" w:rsidP="00E80EE5">
      <w:pPr>
        <w:autoSpaceDE w:val="0"/>
        <w:autoSpaceDN w:val="0"/>
        <w:adjustRightInd w:val="0"/>
        <w:spacing w:after="0" w:line="360" w:lineRule="auto"/>
        <w:ind w:left="2124" w:hanging="2124"/>
        <w:jc w:val="both"/>
        <w:rPr>
          <w:rFonts w:ascii="Garamond" w:hAnsi="Garamond"/>
          <w:color w:val="1F497D" w:themeColor="text2"/>
          <w:sz w:val="28"/>
          <w:szCs w:val="28"/>
        </w:rPr>
      </w:pPr>
      <w:r w:rsidRPr="008F44CA">
        <w:rPr>
          <w:rFonts w:ascii="Garamond" w:hAnsi="Garamond"/>
          <w:b/>
          <w:bCs/>
          <w:color w:val="1F497D" w:themeColor="text2"/>
          <w:sz w:val="28"/>
          <w:szCs w:val="28"/>
        </w:rPr>
        <w:t>8h45</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9h00</w:t>
      </w:r>
      <w:r w:rsidR="008F44CA">
        <w:rPr>
          <w:rFonts w:ascii="Garamond" w:hAnsi="Garamond"/>
          <w:b/>
          <w:bCs/>
          <w:color w:val="1F497D" w:themeColor="text2"/>
          <w:sz w:val="28"/>
          <w:szCs w:val="28"/>
        </w:rPr>
        <w:tab/>
      </w:r>
      <w:r w:rsidRPr="008F44CA">
        <w:rPr>
          <w:rFonts w:ascii="Garamond" w:hAnsi="Garamond"/>
          <w:color w:val="1F497D" w:themeColor="text2"/>
          <w:sz w:val="28"/>
          <w:szCs w:val="28"/>
        </w:rPr>
        <w:t xml:space="preserve">Mots de bienvenue: Mme Karima Bounemra </w:t>
      </w:r>
      <w:r w:rsidR="008F44CA">
        <w:rPr>
          <w:rFonts w:ascii="Garamond" w:hAnsi="Garamond"/>
          <w:color w:val="1F497D" w:themeColor="text2"/>
          <w:sz w:val="28"/>
          <w:szCs w:val="28"/>
        </w:rPr>
        <w:t xml:space="preserve">Ben Soltane </w:t>
      </w:r>
      <w:r w:rsidRPr="008F44CA">
        <w:rPr>
          <w:rFonts w:ascii="Garamond" w:hAnsi="Garamond"/>
          <w:color w:val="1F497D" w:themeColor="text2"/>
          <w:sz w:val="28"/>
          <w:szCs w:val="28"/>
        </w:rPr>
        <w:t>(Directrice du Bureau pour l'Afrique du Nord de la CEA); M</w:t>
      </w:r>
      <w:r w:rsidR="008F44CA">
        <w:rPr>
          <w:rFonts w:ascii="Garamond" w:hAnsi="Garamond"/>
          <w:color w:val="1F497D" w:themeColor="text2"/>
          <w:sz w:val="28"/>
          <w:szCs w:val="28"/>
        </w:rPr>
        <w:t>.</w:t>
      </w:r>
      <w:r w:rsidRPr="008F44CA">
        <w:rPr>
          <w:rFonts w:ascii="Garamond" w:hAnsi="Garamond"/>
          <w:color w:val="1F497D" w:themeColor="text2"/>
          <w:sz w:val="28"/>
          <w:szCs w:val="28"/>
        </w:rPr>
        <w:t xml:space="preserve"> Kamel </w:t>
      </w:r>
      <w:proofErr w:type="spellStart"/>
      <w:r w:rsidRPr="008F44CA">
        <w:rPr>
          <w:rFonts w:ascii="Garamond" w:hAnsi="Garamond"/>
          <w:color w:val="1F497D" w:themeColor="text2"/>
          <w:sz w:val="28"/>
          <w:szCs w:val="28"/>
        </w:rPr>
        <w:t>Lazaar</w:t>
      </w:r>
      <w:proofErr w:type="spellEnd"/>
      <w:r w:rsidRPr="008F44CA">
        <w:rPr>
          <w:rFonts w:ascii="Garamond" w:hAnsi="Garamond"/>
          <w:color w:val="1F497D" w:themeColor="text2"/>
          <w:sz w:val="28"/>
          <w:szCs w:val="28"/>
        </w:rPr>
        <w:t xml:space="preserve"> (Président fondateur du Maghreb </w:t>
      </w:r>
      <w:proofErr w:type="spellStart"/>
      <w:r w:rsidRPr="008F44CA">
        <w:rPr>
          <w:rFonts w:ascii="Garamond" w:hAnsi="Garamond"/>
          <w:color w:val="1F497D" w:themeColor="text2"/>
          <w:sz w:val="28"/>
          <w:szCs w:val="28"/>
        </w:rPr>
        <w:t>Economic</w:t>
      </w:r>
      <w:proofErr w:type="spellEnd"/>
      <w:r w:rsidRPr="008F44CA">
        <w:rPr>
          <w:rFonts w:ascii="Garamond" w:hAnsi="Garamond"/>
          <w:color w:val="1F497D" w:themeColor="text2"/>
          <w:sz w:val="28"/>
          <w:szCs w:val="28"/>
        </w:rPr>
        <w:t xml:space="preserve"> Forum)</w:t>
      </w:r>
    </w:p>
    <w:p w:rsidR="003D3232" w:rsidRPr="008F44CA" w:rsidRDefault="003D3232"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8F44CA" w:rsidRDefault="003D3232" w:rsidP="00E80EE5">
      <w:pPr>
        <w:spacing w:after="360" w:line="360" w:lineRule="auto"/>
        <w:ind w:left="2124" w:hanging="2124"/>
        <w:jc w:val="both"/>
        <w:rPr>
          <w:rFonts w:ascii="Garamond" w:hAnsi="Garamond" w:cs="Century Gothic"/>
          <w:b/>
          <w:bCs/>
          <w:color w:val="1F497D" w:themeColor="text2"/>
          <w:sz w:val="28"/>
          <w:szCs w:val="28"/>
        </w:rPr>
      </w:pPr>
      <w:r w:rsidRPr="008F44CA">
        <w:rPr>
          <w:rFonts w:ascii="Garamond" w:hAnsi="Garamond"/>
          <w:b/>
          <w:bCs/>
          <w:color w:val="1F497D" w:themeColor="text2"/>
          <w:sz w:val="28"/>
          <w:szCs w:val="28"/>
        </w:rPr>
        <w:t>9h00–10h30</w:t>
      </w:r>
      <w:r w:rsidR="008F44CA">
        <w:rPr>
          <w:rFonts w:ascii="Garamond" w:hAnsi="Garamond"/>
          <w:b/>
          <w:bCs/>
          <w:color w:val="1F497D" w:themeColor="text2"/>
          <w:sz w:val="28"/>
          <w:szCs w:val="28"/>
        </w:rPr>
        <w:tab/>
      </w:r>
      <w:r w:rsidRPr="008F44CA">
        <w:rPr>
          <w:rFonts w:ascii="Garamond" w:hAnsi="Garamond" w:cs="Century Gothic"/>
          <w:b/>
          <w:bCs/>
          <w:color w:val="1F497D" w:themeColor="text2"/>
          <w:sz w:val="28"/>
          <w:szCs w:val="28"/>
        </w:rPr>
        <w:t>Panel 1: Intégration financière régionale:</w:t>
      </w:r>
      <w:r w:rsidR="00703782">
        <w:rPr>
          <w:rFonts w:ascii="Garamond" w:hAnsi="Garamond" w:cs="Century Gothic"/>
          <w:b/>
          <w:bCs/>
          <w:color w:val="1F497D" w:themeColor="text2"/>
          <w:sz w:val="28"/>
          <w:szCs w:val="28"/>
        </w:rPr>
        <w:t xml:space="preserve"> quels blocages </w:t>
      </w:r>
      <w:r w:rsidRPr="008F44CA">
        <w:rPr>
          <w:rFonts w:ascii="Garamond" w:hAnsi="Garamond" w:cs="Century Gothic"/>
          <w:b/>
          <w:bCs/>
          <w:color w:val="1F497D" w:themeColor="text2"/>
          <w:sz w:val="28"/>
          <w:szCs w:val="28"/>
        </w:rPr>
        <w:t>et quels enjeux</w:t>
      </w:r>
      <w:r w:rsidR="00703782">
        <w:rPr>
          <w:rFonts w:ascii="Garamond" w:hAnsi="Garamond" w:cs="Century Gothic"/>
          <w:b/>
          <w:bCs/>
          <w:color w:val="1F497D" w:themeColor="text2"/>
          <w:sz w:val="28"/>
          <w:szCs w:val="28"/>
        </w:rPr>
        <w:t xml:space="preserve"> </w:t>
      </w:r>
      <w:r w:rsidRPr="008F44CA">
        <w:rPr>
          <w:rFonts w:ascii="Garamond" w:hAnsi="Garamond" w:cs="Century Gothic"/>
          <w:b/>
          <w:bCs/>
          <w:color w:val="1F497D" w:themeColor="text2"/>
          <w:sz w:val="28"/>
          <w:szCs w:val="28"/>
        </w:rPr>
        <w:t>?</w:t>
      </w:r>
    </w:p>
    <w:p w:rsidR="003D3232" w:rsidRPr="00703782" w:rsidRDefault="003D3232" w:rsidP="00E80EE5">
      <w:pPr>
        <w:autoSpaceDE w:val="0"/>
        <w:autoSpaceDN w:val="0"/>
        <w:adjustRightInd w:val="0"/>
        <w:spacing w:after="0" w:line="360" w:lineRule="auto"/>
        <w:jc w:val="both"/>
        <w:rPr>
          <w:rFonts w:ascii="Garamond" w:hAnsi="Garamond"/>
          <w:b/>
          <w:bCs/>
          <w:i/>
          <w:iCs/>
          <w:color w:val="1F497D" w:themeColor="text2"/>
          <w:sz w:val="28"/>
          <w:szCs w:val="28"/>
        </w:rPr>
      </w:pPr>
      <w:r w:rsidRPr="008F44CA">
        <w:rPr>
          <w:rFonts w:ascii="Garamond" w:hAnsi="Garamond"/>
          <w:b/>
          <w:bCs/>
          <w:color w:val="1F497D" w:themeColor="text2"/>
          <w:sz w:val="28"/>
          <w:szCs w:val="28"/>
        </w:rPr>
        <w:t>10h30</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11h00</w:t>
      </w:r>
      <w:r w:rsidR="008F44CA">
        <w:rPr>
          <w:rFonts w:ascii="Garamond" w:hAnsi="Garamond"/>
          <w:b/>
          <w:bCs/>
          <w:color w:val="1F497D" w:themeColor="text2"/>
          <w:sz w:val="28"/>
          <w:szCs w:val="28"/>
        </w:rPr>
        <w:tab/>
      </w:r>
      <w:r w:rsidRPr="00703782">
        <w:rPr>
          <w:rFonts w:ascii="Garamond" w:hAnsi="Garamond"/>
          <w:i/>
          <w:iCs/>
          <w:color w:val="1F497D" w:themeColor="text2"/>
          <w:sz w:val="28"/>
          <w:szCs w:val="28"/>
        </w:rPr>
        <w:t>Pause-café</w:t>
      </w:r>
    </w:p>
    <w:p w:rsidR="003D3232" w:rsidRPr="008F44CA" w:rsidRDefault="003D3232"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8F44CA" w:rsidRDefault="00E80EE5" w:rsidP="00231B08">
      <w:pPr>
        <w:spacing w:after="360" w:line="360" w:lineRule="auto"/>
        <w:ind w:left="2124" w:hanging="2124"/>
        <w:jc w:val="both"/>
        <w:rPr>
          <w:rFonts w:ascii="Garamond" w:hAnsi="Garamond"/>
          <w:b/>
          <w:bCs/>
          <w:color w:val="1F497D" w:themeColor="text2"/>
          <w:sz w:val="28"/>
          <w:szCs w:val="28"/>
        </w:rPr>
      </w:pPr>
      <w:r>
        <w:rPr>
          <w:rFonts w:ascii="Garamond" w:hAnsi="Garamond"/>
          <w:b/>
          <w:bCs/>
          <w:color w:val="1F497D" w:themeColor="text2"/>
          <w:sz w:val="28"/>
          <w:szCs w:val="28"/>
        </w:rPr>
        <w:t>11h00–</w:t>
      </w:r>
      <w:r w:rsidR="003D3232" w:rsidRPr="008F44CA">
        <w:rPr>
          <w:rFonts w:ascii="Garamond" w:hAnsi="Garamond"/>
          <w:b/>
          <w:bCs/>
          <w:color w:val="1F497D" w:themeColor="text2"/>
          <w:sz w:val="28"/>
          <w:szCs w:val="28"/>
        </w:rPr>
        <w:t>13h00</w:t>
      </w:r>
      <w:r w:rsidR="008F44CA">
        <w:rPr>
          <w:rFonts w:ascii="Garamond" w:hAnsi="Garamond"/>
          <w:b/>
          <w:bCs/>
          <w:color w:val="1F497D" w:themeColor="text2"/>
          <w:sz w:val="28"/>
          <w:szCs w:val="28"/>
        </w:rPr>
        <w:tab/>
      </w:r>
      <w:r w:rsidR="003D3232" w:rsidRPr="008F44CA">
        <w:rPr>
          <w:rFonts w:ascii="Garamond" w:hAnsi="Garamond"/>
          <w:b/>
          <w:bCs/>
          <w:color w:val="1F497D" w:themeColor="text2"/>
          <w:sz w:val="28"/>
          <w:szCs w:val="28"/>
        </w:rPr>
        <w:t>Panel 2: Les investisseurs face aux écueils des systèmes monéta</w:t>
      </w:r>
      <w:r w:rsidR="00231B08">
        <w:rPr>
          <w:rFonts w:ascii="Garamond" w:hAnsi="Garamond"/>
          <w:b/>
          <w:bCs/>
          <w:color w:val="1F497D" w:themeColor="text2"/>
          <w:sz w:val="28"/>
          <w:szCs w:val="28"/>
        </w:rPr>
        <w:t>ires et financiers de la région</w:t>
      </w:r>
    </w:p>
    <w:p w:rsidR="003D3232" w:rsidRPr="008F44CA" w:rsidRDefault="003D3232" w:rsidP="00E80EE5">
      <w:pPr>
        <w:autoSpaceDE w:val="0"/>
        <w:autoSpaceDN w:val="0"/>
        <w:adjustRightInd w:val="0"/>
        <w:spacing w:after="0" w:line="360" w:lineRule="auto"/>
        <w:jc w:val="both"/>
        <w:rPr>
          <w:rFonts w:ascii="Garamond" w:hAnsi="Garamond"/>
          <w:color w:val="1F497D" w:themeColor="text2"/>
          <w:sz w:val="28"/>
          <w:szCs w:val="28"/>
        </w:rPr>
      </w:pPr>
      <w:r w:rsidRPr="008F44CA">
        <w:rPr>
          <w:rFonts w:ascii="Garamond" w:hAnsi="Garamond"/>
          <w:b/>
          <w:bCs/>
          <w:color w:val="1F497D" w:themeColor="text2"/>
          <w:sz w:val="28"/>
          <w:szCs w:val="28"/>
        </w:rPr>
        <w:t>13h00</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14h00</w:t>
      </w:r>
      <w:r w:rsidR="008F44CA">
        <w:rPr>
          <w:rFonts w:ascii="Garamond" w:hAnsi="Garamond"/>
          <w:b/>
          <w:bCs/>
          <w:color w:val="1F497D" w:themeColor="text2"/>
          <w:sz w:val="28"/>
          <w:szCs w:val="28"/>
        </w:rPr>
        <w:tab/>
      </w:r>
      <w:r w:rsidRPr="00231B08">
        <w:rPr>
          <w:rFonts w:ascii="Garamond" w:hAnsi="Garamond"/>
          <w:i/>
          <w:iCs/>
          <w:color w:val="1F497D" w:themeColor="text2"/>
          <w:sz w:val="28"/>
          <w:szCs w:val="28"/>
        </w:rPr>
        <w:t>Déjeuner</w:t>
      </w:r>
    </w:p>
    <w:p w:rsidR="003D3232" w:rsidRPr="008F44CA" w:rsidRDefault="003D3232"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8F44CA" w:rsidRDefault="003D3232" w:rsidP="00E80EE5">
      <w:pPr>
        <w:autoSpaceDE w:val="0"/>
        <w:autoSpaceDN w:val="0"/>
        <w:adjustRightInd w:val="0"/>
        <w:spacing w:after="0" w:line="360" w:lineRule="auto"/>
        <w:ind w:left="2124" w:hanging="2124"/>
        <w:jc w:val="both"/>
        <w:rPr>
          <w:rFonts w:ascii="Garamond" w:hAnsi="Garamond"/>
          <w:color w:val="1F497D" w:themeColor="text2"/>
          <w:sz w:val="28"/>
          <w:szCs w:val="28"/>
        </w:rPr>
      </w:pPr>
      <w:r w:rsidRPr="008F44CA">
        <w:rPr>
          <w:rFonts w:ascii="Garamond" w:hAnsi="Garamond"/>
          <w:b/>
          <w:bCs/>
          <w:color w:val="1F497D" w:themeColor="text2"/>
          <w:sz w:val="28"/>
          <w:szCs w:val="28"/>
        </w:rPr>
        <w:t>14h00</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15h30</w:t>
      </w:r>
      <w:r w:rsidR="008F44CA">
        <w:rPr>
          <w:rFonts w:ascii="Garamond" w:hAnsi="Garamond"/>
          <w:b/>
          <w:bCs/>
          <w:color w:val="1F497D" w:themeColor="text2"/>
          <w:sz w:val="28"/>
          <w:szCs w:val="28"/>
        </w:rPr>
        <w:tab/>
      </w:r>
      <w:r w:rsidRPr="008F44CA">
        <w:rPr>
          <w:rFonts w:ascii="Garamond" w:hAnsi="Garamond"/>
          <w:b/>
          <w:bCs/>
          <w:color w:val="1F497D" w:themeColor="text2"/>
          <w:sz w:val="28"/>
          <w:szCs w:val="28"/>
        </w:rPr>
        <w:t xml:space="preserve">Panel 3: </w:t>
      </w:r>
      <w:r w:rsidRPr="008F44CA">
        <w:rPr>
          <w:rFonts w:ascii="Garamond" w:hAnsi="Garamond"/>
          <w:b/>
          <w:bCs/>
          <w:color w:val="004080"/>
          <w:sz w:val="28"/>
          <w:szCs w:val="28"/>
        </w:rPr>
        <w:t>Marchés boursiers : quelle réponse aux obstacles rencontrés par les investisseurs ?</w:t>
      </w:r>
    </w:p>
    <w:p w:rsidR="0000635B" w:rsidRPr="008F44CA" w:rsidRDefault="0000635B"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703782" w:rsidRDefault="003D3232" w:rsidP="00E80EE5">
      <w:pPr>
        <w:autoSpaceDE w:val="0"/>
        <w:autoSpaceDN w:val="0"/>
        <w:adjustRightInd w:val="0"/>
        <w:spacing w:after="360" w:line="360" w:lineRule="auto"/>
        <w:jc w:val="both"/>
        <w:rPr>
          <w:rFonts w:ascii="Garamond" w:hAnsi="Garamond"/>
          <w:color w:val="1F497D" w:themeColor="text2"/>
          <w:sz w:val="28"/>
          <w:szCs w:val="28"/>
        </w:rPr>
      </w:pPr>
      <w:r w:rsidRPr="008F44CA">
        <w:rPr>
          <w:rFonts w:ascii="Garamond" w:hAnsi="Garamond"/>
          <w:b/>
          <w:bCs/>
          <w:color w:val="1F497D" w:themeColor="text2"/>
          <w:sz w:val="28"/>
          <w:szCs w:val="28"/>
        </w:rPr>
        <w:t>15h30</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16h00</w:t>
      </w:r>
      <w:r w:rsidR="008F44CA">
        <w:rPr>
          <w:rFonts w:ascii="Garamond" w:hAnsi="Garamond"/>
          <w:b/>
          <w:bCs/>
          <w:color w:val="1F497D" w:themeColor="text2"/>
          <w:sz w:val="28"/>
          <w:szCs w:val="28"/>
        </w:rPr>
        <w:tab/>
      </w:r>
      <w:r w:rsidRPr="00703782">
        <w:rPr>
          <w:rFonts w:ascii="Garamond" w:hAnsi="Garamond"/>
          <w:i/>
          <w:iCs/>
          <w:color w:val="1F497D" w:themeColor="text2"/>
          <w:sz w:val="28"/>
          <w:szCs w:val="28"/>
        </w:rPr>
        <w:t>Pause-café</w:t>
      </w:r>
    </w:p>
    <w:p w:rsidR="003D3232" w:rsidRPr="008F44CA" w:rsidRDefault="003D3232" w:rsidP="00E80EE5">
      <w:pPr>
        <w:autoSpaceDE w:val="0"/>
        <w:autoSpaceDN w:val="0"/>
        <w:adjustRightInd w:val="0"/>
        <w:spacing w:after="0" w:line="360" w:lineRule="auto"/>
        <w:ind w:left="2124" w:hanging="2124"/>
        <w:jc w:val="both"/>
        <w:rPr>
          <w:rFonts w:ascii="Garamond" w:hAnsi="Garamond"/>
          <w:color w:val="1F497D" w:themeColor="text2"/>
          <w:sz w:val="28"/>
          <w:szCs w:val="28"/>
        </w:rPr>
      </w:pPr>
      <w:r w:rsidRPr="008F44CA">
        <w:rPr>
          <w:rFonts w:ascii="Garamond" w:hAnsi="Garamond"/>
          <w:b/>
          <w:bCs/>
          <w:color w:val="1F497D" w:themeColor="text2"/>
          <w:sz w:val="28"/>
          <w:szCs w:val="28"/>
        </w:rPr>
        <w:t>16h</w:t>
      </w:r>
      <w:r w:rsidR="00E80EE5">
        <w:rPr>
          <w:rFonts w:ascii="Garamond" w:hAnsi="Garamond"/>
          <w:b/>
          <w:bCs/>
          <w:color w:val="1F497D" w:themeColor="text2"/>
          <w:sz w:val="28"/>
          <w:szCs w:val="28"/>
        </w:rPr>
        <w:t>00–</w:t>
      </w:r>
      <w:r w:rsidRPr="008F44CA">
        <w:rPr>
          <w:rFonts w:ascii="Garamond" w:hAnsi="Garamond"/>
          <w:b/>
          <w:bCs/>
          <w:color w:val="1F497D" w:themeColor="text2"/>
          <w:sz w:val="28"/>
          <w:szCs w:val="28"/>
        </w:rPr>
        <w:t>17h30</w:t>
      </w:r>
      <w:r w:rsidR="008F44CA">
        <w:rPr>
          <w:rFonts w:ascii="Garamond" w:hAnsi="Garamond"/>
          <w:b/>
          <w:bCs/>
          <w:color w:val="1F497D" w:themeColor="text2"/>
          <w:sz w:val="28"/>
          <w:szCs w:val="28"/>
        </w:rPr>
        <w:tab/>
      </w:r>
      <w:r w:rsidRPr="008F44CA">
        <w:rPr>
          <w:rFonts w:ascii="Garamond" w:hAnsi="Garamond"/>
          <w:b/>
          <w:bCs/>
          <w:color w:val="1F497D" w:themeColor="text2"/>
          <w:sz w:val="28"/>
          <w:szCs w:val="28"/>
        </w:rPr>
        <w:t xml:space="preserve">Panel 4: </w:t>
      </w:r>
      <w:r w:rsidRPr="008F44CA">
        <w:rPr>
          <w:rFonts w:ascii="Garamond" w:hAnsi="Garamond"/>
          <w:b/>
          <w:bCs/>
          <w:color w:val="004080"/>
          <w:sz w:val="28"/>
          <w:szCs w:val="28"/>
        </w:rPr>
        <w:t>Banques privées, banques publiques : quelle réponse aux obstacles rencontrés par les investisseurs ?</w:t>
      </w:r>
    </w:p>
    <w:p w:rsidR="003D3232" w:rsidRPr="008F44CA" w:rsidRDefault="003D3232" w:rsidP="00231B08">
      <w:pPr>
        <w:autoSpaceDE w:val="0"/>
        <w:autoSpaceDN w:val="0"/>
        <w:adjustRightInd w:val="0"/>
        <w:spacing w:after="0" w:line="360" w:lineRule="auto"/>
        <w:jc w:val="both"/>
        <w:rPr>
          <w:rFonts w:ascii="Garamond" w:hAnsi="Garamond"/>
          <w:b/>
          <w:bCs/>
          <w:color w:val="1F497D" w:themeColor="text2"/>
          <w:sz w:val="28"/>
          <w:szCs w:val="28"/>
        </w:rPr>
      </w:pPr>
    </w:p>
    <w:p w:rsidR="003D3232" w:rsidRPr="008F44CA" w:rsidRDefault="003D3232" w:rsidP="00E80EE5">
      <w:pPr>
        <w:autoSpaceDE w:val="0"/>
        <w:autoSpaceDN w:val="0"/>
        <w:adjustRightInd w:val="0"/>
        <w:spacing w:after="0" w:line="360" w:lineRule="auto"/>
        <w:jc w:val="both"/>
        <w:rPr>
          <w:rFonts w:ascii="Garamond" w:hAnsi="Garamond"/>
          <w:color w:val="1F497D" w:themeColor="text2"/>
          <w:sz w:val="28"/>
          <w:szCs w:val="28"/>
        </w:rPr>
      </w:pPr>
      <w:r w:rsidRPr="008F44CA">
        <w:rPr>
          <w:rFonts w:ascii="Garamond" w:hAnsi="Garamond"/>
          <w:b/>
          <w:bCs/>
          <w:color w:val="1F497D" w:themeColor="text2"/>
          <w:sz w:val="28"/>
          <w:szCs w:val="28"/>
        </w:rPr>
        <w:t>17h30</w:t>
      </w:r>
      <w:r w:rsidR="00E80EE5">
        <w:rPr>
          <w:rFonts w:ascii="Garamond" w:hAnsi="Garamond"/>
          <w:b/>
          <w:bCs/>
          <w:color w:val="1F497D" w:themeColor="text2"/>
          <w:sz w:val="28"/>
          <w:szCs w:val="28"/>
        </w:rPr>
        <w:t>–</w:t>
      </w:r>
      <w:r w:rsidRPr="008F44CA">
        <w:rPr>
          <w:rFonts w:ascii="Garamond" w:hAnsi="Garamond"/>
          <w:b/>
          <w:bCs/>
          <w:color w:val="1F497D" w:themeColor="text2"/>
          <w:sz w:val="28"/>
          <w:szCs w:val="28"/>
        </w:rPr>
        <w:t>18h00</w:t>
      </w:r>
      <w:r w:rsidR="008F44CA">
        <w:rPr>
          <w:rFonts w:ascii="Garamond" w:hAnsi="Garamond"/>
          <w:b/>
          <w:bCs/>
          <w:color w:val="1F497D" w:themeColor="text2"/>
          <w:sz w:val="28"/>
          <w:szCs w:val="28"/>
        </w:rPr>
        <w:tab/>
      </w:r>
      <w:r w:rsidRPr="008F44CA">
        <w:rPr>
          <w:rFonts w:ascii="Garamond" w:hAnsi="Garamond"/>
          <w:color w:val="1F497D" w:themeColor="text2"/>
          <w:sz w:val="28"/>
          <w:szCs w:val="28"/>
        </w:rPr>
        <w:t>Synthèse des travaux</w:t>
      </w:r>
    </w:p>
    <w:p w:rsidR="003D3232" w:rsidRPr="00450478" w:rsidRDefault="003D3232" w:rsidP="00450478">
      <w:pPr>
        <w:tabs>
          <w:tab w:val="left" w:pos="5115"/>
        </w:tabs>
        <w:jc w:val="center"/>
        <w:rPr>
          <w:rFonts w:ascii="Garamond" w:hAnsi="Garamond"/>
          <w:b/>
          <w:bCs/>
          <w:caps/>
          <w:color w:val="1F497D" w:themeColor="text2"/>
          <w:sz w:val="40"/>
          <w:szCs w:val="40"/>
        </w:rPr>
      </w:pPr>
      <w:r w:rsidRPr="00450478">
        <w:rPr>
          <w:rFonts w:ascii="Garamond" w:hAnsi="Garamond"/>
          <w:b/>
          <w:bCs/>
          <w:caps/>
          <w:color w:val="1F497D" w:themeColor="text2"/>
          <w:sz w:val="40"/>
          <w:szCs w:val="40"/>
        </w:rPr>
        <w:lastRenderedPageBreak/>
        <w:t>Contenu des panels</w:t>
      </w:r>
    </w:p>
    <w:p w:rsidR="003D3232" w:rsidRPr="008F44CA" w:rsidRDefault="003D3232" w:rsidP="003D3232">
      <w:pPr>
        <w:jc w:val="center"/>
        <w:rPr>
          <w:rFonts w:ascii="Garamond" w:hAnsi="Garamond" w:cs="Century Gothic"/>
          <w:b/>
          <w:bCs/>
          <w:color w:val="1F497D" w:themeColor="text2"/>
          <w:sz w:val="28"/>
          <w:szCs w:val="28"/>
        </w:rPr>
      </w:pPr>
      <w:r w:rsidRPr="008F44CA">
        <w:rPr>
          <w:rFonts w:ascii="Garamond" w:hAnsi="Garamond" w:cs="Century Gothic"/>
          <w:b/>
          <w:bCs/>
          <w:color w:val="1F497D" w:themeColor="text2"/>
          <w:sz w:val="28"/>
          <w:szCs w:val="28"/>
        </w:rPr>
        <w:t>Panel 1: Intégration financière régionale: quels blocages et quels enjeux?</w:t>
      </w:r>
    </w:p>
    <w:p w:rsidR="003D3232" w:rsidRPr="00287B97" w:rsidRDefault="003D3232" w:rsidP="003D3232">
      <w:pPr>
        <w:jc w:val="both"/>
        <w:rPr>
          <w:rFonts w:ascii="Garamond" w:hAnsi="Garamond" w:cs="Century Gothic"/>
          <w:color w:val="1F497D" w:themeColor="text2"/>
          <w:sz w:val="24"/>
          <w:szCs w:val="24"/>
        </w:rPr>
      </w:pPr>
      <w:r w:rsidRPr="00287B97">
        <w:rPr>
          <w:rFonts w:ascii="Garamond" w:hAnsi="Garamond" w:cs="Century Gothic"/>
          <w:color w:val="1F497D" w:themeColor="text2"/>
          <w:sz w:val="24"/>
          <w:szCs w:val="24"/>
        </w:rPr>
        <w:t>Il s'agira de faire le point sur la question de l'intégration financière: quelles sont les actions jusque-là entreprises? Sont-elles appliquées? Quelle en est l</w:t>
      </w:r>
      <w:r w:rsidR="00C25CAA">
        <w:rPr>
          <w:rFonts w:ascii="Garamond" w:hAnsi="Garamond" w:cs="Century Gothic"/>
          <w:color w:val="1F497D" w:themeColor="text2"/>
          <w:sz w:val="24"/>
          <w:szCs w:val="24"/>
        </w:rPr>
        <w:t>a</w:t>
      </w:r>
      <w:r w:rsidRPr="00287B97">
        <w:rPr>
          <w:rFonts w:ascii="Garamond" w:hAnsi="Garamond" w:cs="Century Gothic"/>
          <w:color w:val="1F497D" w:themeColor="text2"/>
          <w:sz w:val="24"/>
          <w:szCs w:val="24"/>
        </w:rPr>
        <w:t xml:space="preserve"> portée? Quels sont les obstacles aujourd'hui et de quelle nature sont-ils? Politique? Institutionnelle? Quels sont les enjeux liés à la levée de ces obstacles et à l'accélération du processus d'intégration financière d'une manière générale?</w:t>
      </w:r>
    </w:p>
    <w:p w:rsidR="003D3232" w:rsidRPr="008F44CA" w:rsidRDefault="003D3232" w:rsidP="003D3232">
      <w:pPr>
        <w:jc w:val="center"/>
        <w:rPr>
          <w:rFonts w:ascii="Garamond" w:hAnsi="Garamond" w:cs="Century Gothic"/>
          <w:b/>
          <w:bCs/>
          <w:color w:val="1F497D" w:themeColor="text2"/>
          <w:sz w:val="28"/>
          <w:szCs w:val="28"/>
        </w:rPr>
      </w:pPr>
      <w:r w:rsidRPr="008F44CA">
        <w:rPr>
          <w:rFonts w:ascii="Garamond" w:hAnsi="Garamond" w:cs="Century Gothic"/>
          <w:b/>
          <w:bCs/>
          <w:color w:val="1F497D" w:themeColor="text2"/>
          <w:sz w:val="28"/>
          <w:szCs w:val="28"/>
        </w:rPr>
        <w:t>Panel 2: Les investisseurs face aux écueils des systèmes monétaires et financiers de la région</w:t>
      </w:r>
    </w:p>
    <w:p w:rsidR="003D3232" w:rsidRPr="00287B97" w:rsidRDefault="003D3232" w:rsidP="003D3232">
      <w:pPr>
        <w:jc w:val="both"/>
        <w:rPr>
          <w:rFonts w:ascii="Garamond" w:hAnsi="Garamond" w:cs="Century Gothic"/>
          <w:color w:val="1F497D" w:themeColor="text2"/>
          <w:sz w:val="24"/>
          <w:szCs w:val="24"/>
        </w:rPr>
      </w:pPr>
      <w:r w:rsidRPr="00287B97">
        <w:rPr>
          <w:rFonts w:ascii="Garamond" w:hAnsi="Garamond" w:cs="Century Gothic"/>
          <w:color w:val="1F497D" w:themeColor="text2"/>
          <w:sz w:val="24"/>
          <w:szCs w:val="24"/>
        </w:rPr>
        <w:t>Ce panel sera animé par les investisseurs dans la région. Le but est de leur permettre de s'exprimer sur les difficultés auxquelles ils font face dans leurs projets d'investissement: facteurs de blocage liés à la structure des systèmes financiers dans chaque région, aux textes de lois ou encore à des décisions strictement politiques. Il s'agit également d'écouter les investisseurs maghrébins qui s'implantent en Afrique Sub-saharienne plutôt qu'au Maghreb: quelles sont les raisons de leur choix et de leur détournement de la région? Qu'attendent-ils de la part des autorités publiques pour investir dans la région?</w:t>
      </w:r>
    </w:p>
    <w:p w:rsidR="003D3232" w:rsidRPr="00287B97" w:rsidRDefault="003D3232" w:rsidP="003D3232">
      <w:pPr>
        <w:jc w:val="both"/>
        <w:rPr>
          <w:rFonts w:ascii="Garamond" w:hAnsi="Garamond" w:cs="Century Gothic"/>
          <w:color w:val="1F497D" w:themeColor="text2"/>
          <w:sz w:val="24"/>
          <w:szCs w:val="24"/>
        </w:rPr>
      </w:pPr>
      <w:r w:rsidRPr="00287B97">
        <w:rPr>
          <w:rFonts w:ascii="Garamond" w:hAnsi="Garamond" w:cs="Century Gothic"/>
          <w:color w:val="1F497D" w:themeColor="text2"/>
          <w:sz w:val="24"/>
          <w:szCs w:val="24"/>
        </w:rPr>
        <w:t>Les deux panels qui suivront (3 et 4) auront pour but de répondre aux problèmes qui auront été évoqués dans le panel 2.</w:t>
      </w:r>
    </w:p>
    <w:p w:rsidR="003D3232" w:rsidRPr="008F44CA" w:rsidRDefault="003D3232" w:rsidP="003D3232">
      <w:pPr>
        <w:jc w:val="center"/>
        <w:rPr>
          <w:rFonts w:ascii="Garamond" w:hAnsi="Garamond"/>
          <w:b/>
          <w:bCs/>
          <w:color w:val="1F497D" w:themeColor="text2"/>
          <w:sz w:val="28"/>
          <w:szCs w:val="28"/>
        </w:rPr>
      </w:pPr>
      <w:r w:rsidRPr="008F44CA">
        <w:rPr>
          <w:rFonts w:ascii="Garamond" w:hAnsi="Garamond"/>
          <w:b/>
          <w:bCs/>
          <w:color w:val="1F497D" w:themeColor="text2"/>
          <w:sz w:val="28"/>
          <w:szCs w:val="28"/>
        </w:rPr>
        <w:t>Panel 3: Marchés boursiers: quelle réponse aux obstacles rencontrés par les investisseurs?</w:t>
      </w:r>
    </w:p>
    <w:p w:rsidR="003D3232" w:rsidRPr="00287B97" w:rsidRDefault="003D3232" w:rsidP="003D3232">
      <w:pPr>
        <w:jc w:val="both"/>
        <w:rPr>
          <w:rFonts w:ascii="Garamond" w:hAnsi="Garamond"/>
          <w:color w:val="1F497D" w:themeColor="text2"/>
        </w:rPr>
      </w:pPr>
      <w:r w:rsidRPr="00287B97">
        <w:rPr>
          <w:rFonts w:ascii="Garamond" w:hAnsi="Garamond"/>
          <w:color w:val="1F497D" w:themeColor="text2"/>
          <w:sz w:val="24"/>
          <w:szCs w:val="24"/>
        </w:rPr>
        <w:t>Ce panel sera animé par les principaux acteurs des marchés financiers maghrébins. Ces derniers y exposeront leur point de vue de la situation, apporteront des explications aux difficultés auxquelles sont confrontés les opérateurs de la région et livreront leur vision d'un marché financier intégré. Quelles actions pourraient être initiées par les bourses nationales dans le contexte actuel pour booster les investissements intra-maghrébins ?</w:t>
      </w:r>
    </w:p>
    <w:p w:rsidR="003D3232" w:rsidRPr="008F44CA" w:rsidRDefault="003D3232" w:rsidP="003D3232">
      <w:pPr>
        <w:jc w:val="center"/>
        <w:rPr>
          <w:rFonts w:ascii="Garamond" w:hAnsi="Garamond"/>
          <w:b/>
          <w:bCs/>
          <w:color w:val="1F497D" w:themeColor="text2"/>
          <w:sz w:val="28"/>
          <w:szCs w:val="28"/>
        </w:rPr>
      </w:pPr>
      <w:r w:rsidRPr="008F44CA">
        <w:rPr>
          <w:rFonts w:ascii="Garamond" w:hAnsi="Garamond"/>
          <w:b/>
          <w:bCs/>
          <w:color w:val="1F497D" w:themeColor="text2"/>
          <w:sz w:val="28"/>
          <w:szCs w:val="28"/>
        </w:rPr>
        <w:t>Panel 4: Banques privées, banques publiques: quelle réponse aux obstacles rencontrés par les investisseurs?</w:t>
      </w:r>
    </w:p>
    <w:p w:rsidR="00450478" w:rsidRDefault="003D3232" w:rsidP="003D3232">
      <w:pPr>
        <w:jc w:val="both"/>
        <w:rPr>
          <w:rFonts w:ascii="Garamond" w:hAnsi="Garamond"/>
          <w:color w:val="1F497D" w:themeColor="text2"/>
          <w:sz w:val="24"/>
          <w:szCs w:val="24"/>
        </w:rPr>
      </w:pPr>
      <w:r w:rsidRPr="00287B97">
        <w:rPr>
          <w:rFonts w:ascii="Garamond" w:hAnsi="Garamond"/>
          <w:color w:val="1F497D" w:themeColor="text2"/>
          <w:sz w:val="24"/>
          <w:szCs w:val="24"/>
        </w:rPr>
        <w:t>Il sera question pour les banquiers (privés et publics) d'exposer leur vision de la situation actuelle et des facteurs de blocage ainsi que des perspectives d'une intégration financière maghrébine. Il s'agira aussi pour eux, à l'instar des professionnels de la Bourse, de répondre aux questionnements qui auront été posés dans le panel 2. Quels partenariats seraient envisageables par les professionnels du secteur bancaire dans le contexte actuel ? Quels services financiers pour boos</w:t>
      </w:r>
      <w:r>
        <w:rPr>
          <w:rFonts w:ascii="Garamond" w:hAnsi="Garamond"/>
          <w:color w:val="1F497D" w:themeColor="text2"/>
          <w:sz w:val="24"/>
          <w:szCs w:val="24"/>
        </w:rPr>
        <w:t>ter le commerce intra-régional ?</w:t>
      </w:r>
    </w:p>
    <w:p w:rsidR="003D3232" w:rsidRDefault="00450478" w:rsidP="00450478">
      <w:pPr>
        <w:rPr>
          <w:rFonts w:ascii="Garamond" w:hAnsi="Garamond"/>
          <w:color w:val="1F497D" w:themeColor="text2"/>
          <w:sz w:val="24"/>
          <w:szCs w:val="24"/>
        </w:rPr>
      </w:pPr>
      <w:r>
        <w:rPr>
          <w:rFonts w:ascii="Garamond" w:hAnsi="Garamond"/>
          <w:color w:val="1F497D" w:themeColor="text2"/>
          <w:sz w:val="24"/>
          <w:szCs w:val="24"/>
        </w:rPr>
        <w:br w:type="page"/>
      </w:r>
    </w:p>
    <w:sectPr w:rsidR="003D3232" w:rsidSect="00D42B9C">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39D" w:rsidRDefault="0056139D" w:rsidP="0014325C">
      <w:pPr>
        <w:spacing w:after="0" w:line="240" w:lineRule="auto"/>
      </w:pPr>
      <w:r>
        <w:separator/>
      </w:r>
    </w:p>
  </w:endnote>
  <w:endnote w:type="continuationSeparator" w:id="0">
    <w:p w:rsidR="0056139D" w:rsidRDefault="0056139D" w:rsidP="00143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260153"/>
      <w:docPartObj>
        <w:docPartGallery w:val="Page Numbers (Bottom of Page)"/>
        <w:docPartUnique/>
      </w:docPartObj>
    </w:sdtPr>
    <w:sdtContent>
      <w:p w:rsidR="00F65AC1" w:rsidRDefault="005C2861">
        <w:pPr>
          <w:pStyle w:val="Pieddepage"/>
          <w:jc w:val="center"/>
        </w:pPr>
        <w:r>
          <w:fldChar w:fldCharType="begin"/>
        </w:r>
        <w:r w:rsidR="000177EA">
          <w:instrText>PAGE   \* MERGEFORMAT</w:instrText>
        </w:r>
        <w:r>
          <w:fldChar w:fldCharType="separate"/>
        </w:r>
        <w:r w:rsidR="00E80EE5">
          <w:rPr>
            <w:noProof/>
          </w:rPr>
          <w:t>2</w:t>
        </w:r>
        <w:r>
          <w:fldChar w:fldCharType="end"/>
        </w:r>
      </w:p>
    </w:sdtContent>
  </w:sdt>
  <w:p w:rsidR="00F65AC1" w:rsidRDefault="0056139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39D" w:rsidRDefault="0056139D" w:rsidP="0014325C">
      <w:pPr>
        <w:spacing w:after="0" w:line="240" w:lineRule="auto"/>
      </w:pPr>
      <w:r>
        <w:separator/>
      </w:r>
    </w:p>
  </w:footnote>
  <w:footnote w:type="continuationSeparator" w:id="0">
    <w:p w:rsidR="0056139D" w:rsidRDefault="0056139D" w:rsidP="001432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D12C4"/>
    <w:multiLevelType w:val="hybridMultilevel"/>
    <w:tmpl w:val="973A3168"/>
    <w:lvl w:ilvl="0" w:tplc="040C0001">
      <w:start w:val="1"/>
      <w:numFmt w:val="bullet"/>
      <w:lvlText w:val=""/>
      <w:lvlJc w:val="left"/>
      <w:pPr>
        <w:ind w:left="720" w:hanging="360"/>
      </w:pPr>
      <w:rPr>
        <w:rFonts w:ascii="Symbol" w:hAnsi="Symbol" w:hint="default"/>
      </w:rPr>
    </w:lvl>
    <w:lvl w:ilvl="1" w:tplc="E2F08BFA">
      <w:numFmt w:val="bullet"/>
      <w:lvlText w:val="-"/>
      <w:lvlJc w:val="left"/>
      <w:pPr>
        <w:ind w:left="1440" w:hanging="360"/>
      </w:pPr>
      <w:rPr>
        <w:rFonts w:ascii="Garamond" w:eastAsiaTheme="minorHAnsi" w:hAnsi="Garamond" w:cstheme="minorBidi" w:hint="default"/>
        <w:lang w:val="en-US"/>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93B09BD"/>
    <w:multiLevelType w:val="hybridMultilevel"/>
    <w:tmpl w:val="A462D430"/>
    <w:lvl w:ilvl="0" w:tplc="040C0001">
      <w:start w:val="1"/>
      <w:numFmt w:val="bullet"/>
      <w:lvlText w:val=""/>
      <w:lvlJc w:val="left"/>
      <w:pPr>
        <w:ind w:left="720" w:hanging="360"/>
      </w:pPr>
      <w:rPr>
        <w:rFonts w:ascii="Symbol" w:hAnsi="Symbol" w:hint="default"/>
      </w:rPr>
    </w:lvl>
    <w:lvl w:ilvl="1" w:tplc="4788BB5C">
      <w:numFmt w:val="bullet"/>
      <w:lvlText w:val="-"/>
      <w:lvlJc w:val="left"/>
      <w:pPr>
        <w:ind w:left="1440" w:hanging="360"/>
      </w:pPr>
      <w:rPr>
        <w:rFonts w:ascii="Garamond" w:eastAsiaTheme="minorHAnsi" w:hAnsi="Garamond"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70E17AD"/>
    <w:multiLevelType w:val="hybridMultilevel"/>
    <w:tmpl w:val="2B328376"/>
    <w:lvl w:ilvl="0" w:tplc="4788BB5C">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80B0CA8"/>
    <w:multiLevelType w:val="hybridMultilevel"/>
    <w:tmpl w:val="78F4A4F8"/>
    <w:lvl w:ilvl="0" w:tplc="4788BB5C">
      <w:numFmt w:val="bullet"/>
      <w:lvlText w:val="-"/>
      <w:lvlJc w:val="left"/>
      <w:pPr>
        <w:ind w:left="1440" w:hanging="360"/>
      </w:pPr>
      <w:rPr>
        <w:rFonts w:ascii="Garamond" w:eastAsiaTheme="minorHAnsi" w:hAnsi="Garamond" w:cstheme="minorBidi"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D3232"/>
    <w:rsid w:val="0000635B"/>
    <w:rsid w:val="000177EA"/>
    <w:rsid w:val="0014325C"/>
    <w:rsid w:val="00231B08"/>
    <w:rsid w:val="002B45B9"/>
    <w:rsid w:val="002E0A65"/>
    <w:rsid w:val="003D3232"/>
    <w:rsid w:val="00450478"/>
    <w:rsid w:val="00487254"/>
    <w:rsid w:val="004C3929"/>
    <w:rsid w:val="004D7F70"/>
    <w:rsid w:val="00556A84"/>
    <w:rsid w:val="0056139D"/>
    <w:rsid w:val="005C2861"/>
    <w:rsid w:val="006B0A52"/>
    <w:rsid w:val="00703782"/>
    <w:rsid w:val="008A6B4E"/>
    <w:rsid w:val="008B48C6"/>
    <w:rsid w:val="008F44CA"/>
    <w:rsid w:val="00916C3D"/>
    <w:rsid w:val="00C25CAA"/>
    <w:rsid w:val="00E80EE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23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3232"/>
    <w:pPr>
      <w:ind w:left="720"/>
      <w:contextualSpacing/>
    </w:pPr>
  </w:style>
  <w:style w:type="paragraph" w:styleId="Pieddepage">
    <w:name w:val="footer"/>
    <w:basedOn w:val="Normal"/>
    <w:link w:val="PieddepageCar"/>
    <w:uiPriority w:val="99"/>
    <w:unhideWhenUsed/>
    <w:rsid w:val="003D32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232"/>
  </w:style>
  <w:style w:type="character" w:styleId="Lienhypertexte">
    <w:name w:val="Hyperlink"/>
    <w:basedOn w:val="Policepardfaut"/>
    <w:uiPriority w:val="99"/>
    <w:unhideWhenUsed/>
    <w:rsid w:val="0014325C"/>
    <w:rPr>
      <w:color w:val="0000FF" w:themeColor="hyperlink"/>
      <w:u w:val="single"/>
    </w:rPr>
  </w:style>
  <w:style w:type="table" w:styleId="Grilledutableau">
    <w:name w:val="Table Grid"/>
    <w:basedOn w:val="TableauNormal"/>
    <w:uiPriority w:val="59"/>
    <w:rsid w:val="00143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432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25C"/>
    <w:rPr>
      <w:rFonts w:ascii="Tahoma" w:hAnsi="Tahoma" w:cs="Tahoma"/>
      <w:sz w:val="16"/>
      <w:szCs w:val="16"/>
    </w:rPr>
  </w:style>
  <w:style w:type="paragraph" w:styleId="Notedebasdepage">
    <w:name w:val="footnote text"/>
    <w:basedOn w:val="Normal"/>
    <w:link w:val="NotedebasdepageCar"/>
    <w:uiPriority w:val="99"/>
    <w:semiHidden/>
    <w:unhideWhenUsed/>
    <w:rsid w:val="0014325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325C"/>
    <w:rPr>
      <w:sz w:val="20"/>
      <w:szCs w:val="20"/>
    </w:rPr>
  </w:style>
  <w:style w:type="character" w:styleId="Appelnotedebasdep">
    <w:name w:val="footnote reference"/>
    <w:basedOn w:val="Policepardfaut"/>
    <w:uiPriority w:val="99"/>
    <w:semiHidden/>
    <w:unhideWhenUsed/>
    <w:rsid w:val="0014325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23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3232"/>
    <w:pPr>
      <w:ind w:left="720"/>
      <w:contextualSpacing/>
    </w:pPr>
  </w:style>
  <w:style w:type="paragraph" w:styleId="Pieddepage">
    <w:name w:val="footer"/>
    <w:basedOn w:val="Normal"/>
    <w:link w:val="PieddepageCar"/>
    <w:uiPriority w:val="99"/>
    <w:unhideWhenUsed/>
    <w:rsid w:val="003D32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232"/>
  </w:style>
  <w:style w:type="character" w:styleId="Lienhypertexte">
    <w:name w:val="Hyperlink"/>
    <w:basedOn w:val="Policepardfaut"/>
    <w:uiPriority w:val="99"/>
    <w:unhideWhenUsed/>
    <w:rsid w:val="0014325C"/>
    <w:rPr>
      <w:color w:val="0000FF" w:themeColor="hyperlink"/>
      <w:u w:val="single"/>
    </w:rPr>
  </w:style>
  <w:style w:type="table" w:styleId="Grilledutableau">
    <w:name w:val="Table Grid"/>
    <w:basedOn w:val="TableauNormal"/>
    <w:uiPriority w:val="59"/>
    <w:rsid w:val="00143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432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25C"/>
    <w:rPr>
      <w:rFonts w:ascii="Tahoma" w:hAnsi="Tahoma" w:cs="Tahoma"/>
      <w:sz w:val="16"/>
      <w:szCs w:val="16"/>
    </w:rPr>
  </w:style>
  <w:style w:type="paragraph" w:styleId="Notedebasdepage">
    <w:name w:val="footnote text"/>
    <w:basedOn w:val="Normal"/>
    <w:link w:val="NotedebasdepageCar"/>
    <w:uiPriority w:val="99"/>
    <w:semiHidden/>
    <w:unhideWhenUsed/>
    <w:rsid w:val="0014325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325C"/>
    <w:rPr>
      <w:sz w:val="20"/>
      <w:szCs w:val="20"/>
    </w:rPr>
  </w:style>
  <w:style w:type="character" w:styleId="Appelnotedebasdep">
    <w:name w:val="footnote reference"/>
    <w:basedOn w:val="Policepardfaut"/>
    <w:uiPriority w:val="99"/>
    <w:semiHidden/>
    <w:unhideWhenUsed/>
    <w:rsid w:val="0014325C"/>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519</Words>
  <Characters>2962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LAP-007</dc:creator>
  <cp:lastModifiedBy> Mosseddek</cp:lastModifiedBy>
  <cp:revision>5</cp:revision>
  <dcterms:created xsi:type="dcterms:W3CDTF">2013-10-01T18:10:00Z</dcterms:created>
  <dcterms:modified xsi:type="dcterms:W3CDTF">2013-10-01T18:20:00Z</dcterms:modified>
</cp:coreProperties>
</file>