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2B4" w:rsidRDefault="00C375C7">
      <w:pPr>
        <w:rPr>
          <w:rFonts w:ascii="Eurostile" w:hAnsi="Eurostile"/>
          <w:bCs/>
        </w:rPr>
      </w:pPr>
      <w:r>
        <w:rPr>
          <w:rFonts w:ascii="Eurostile" w:hAnsi="Eurostile"/>
          <w:bCs/>
          <w:noProof/>
          <w:lang w:val="en-US" w:eastAsia="en-US"/>
        </w:rPr>
        <w:pict>
          <v:shapetype id="_x0000_t202" coordsize="21600,21600" o:spt="202" path="m,l,21600r21600,l21600,xe">
            <v:stroke joinstyle="miter"/>
            <v:path gradientshapeok="t" o:connecttype="rect"/>
          </v:shapetype>
          <v:shape id="_x0000_s1030" type="#_x0000_t202" style="position:absolute;margin-left:368.65pt;margin-top:-3.25pt;width:142.35pt;height:90pt;z-index:251663360" filled="f" stroked="f">
            <v:textbox style="mso-next-textbox:#_x0000_s1030">
              <w:txbxContent>
                <w:p w:rsidR="00323187" w:rsidRPr="00323187" w:rsidRDefault="0070452B" w:rsidP="00323187">
                  <w:pPr>
                    <w:rPr>
                      <w:rFonts w:ascii="Eurostile" w:hAnsi="Eurostile"/>
                      <w:sz w:val="22"/>
                      <w:szCs w:val="22"/>
                      <w:lang w:val="en-US"/>
                    </w:rPr>
                  </w:pPr>
                  <w:r w:rsidRPr="0070452B">
                    <w:rPr>
                      <w:rFonts w:ascii="Eurostile" w:hAnsi="Eurostile"/>
                      <w:sz w:val="22"/>
                      <w:szCs w:val="22"/>
                      <w:lang w:val="en-US"/>
                    </w:rPr>
                    <w:t>Distr.: GENERALE</w:t>
                  </w:r>
                </w:p>
                <w:p w:rsidR="006F52B4" w:rsidRDefault="0070452B">
                  <w:pPr>
                    <w:rPr>
                      <w:rFonts w:ascii="Eurostile" w:hAnsi="Eurostile"/>
                      <w:sz w:val="22"/>
                      <w:szCs w:val="22"/>
                      <w:lang w:val="en-US"/>
                    </w:rPr>
                  </w:pPr>
                  <w:r w:rsidRPr="0070452B">
                    <w:rPr>
                      <w:rFonts w:ascii="Eurostile" w:hAnsi="Eurostile"/>
                      <w:sz w:val="22"/>
                      <w:szCs w:val="22"/>
                      <w:lang w:val="en-US"/>
                    </w:rPr>
                    <w:t>CEA-AN/CIE/XXVIII/1</w:t>
                  </w:r>
                </w:p>
                <w:p w:rsidR="00323187" w:rsidRPr="00323187" w:rsidRDefault="0070452B" w:rsidP="00323187">
                  <w:pPr>
                    <w:rPr>
                      <w:rFonts w:ascii="Eurostile" w:hAnsi="Eurostile"/>
                      <w:sz w:val="22"/>
                      <w:szCs w:val="22"/>
                    </w:rPr>
                  </w:pPr>
                  <w:r w:rsidRPr="0070452B">
                    <w:rPr>
                      <w:rFonts w:ascii="Eurostile" w:hAnsi="Eurostile"/>
                      <w:sz w:val="22"/>
                      <w:szCs w:val="22"/>
                    </w:rPr>
                    <w:t>Janvier 2013</w:t>
                  </w:r>
                </w:p>
                <w:p w:rsidR="00323187" w:rsidRPr="00323187" w:rsidRDefault="00323187" w:rsidP="00323187">
                  <w:pPr>
                    <w:rPr>
                      <w:rFonts w:ascii="Eurostile" w:hAnsi="Eurostile"/>
                      <w:sz w:val="22"/>
                      <w:szCs w:val="22"/>
                    </w:rPr>
                  </w:pPr>
                </w:p>
                <w:p w:rsidR="00323187" w:rsidRPr="00323187" w:rsidRDefault="0070452B" w:rsidP="00323187">
                  <w:pPr>
                    <w:rPr>
                      <w:rFonts w:ascii="Eurostile" w:hAnsi="Eurostile"/>
                      <w:sz w:val="22"/>
                      <w:szCs w:val="22"/>
                    </w:rPr>
                  </w:pPr>
                  <w:r w:rsidRPr="0070452B">
                    <w:rPr>
                      <w:rFonts w:ascii="Eurostile" w:hAnsi="Eurostile"/>
                      <w:sz w:val="22"/>
                      <w:szCs w:val="22"/>
                    </w:rPr>
                    <w:t>Original: FRANÇAIS</w:t>
                  </w:r>
                </w:p>
              </w:txbxContent>
            </v:textbox>
          </v:shape>
        </w:pict>
      </w:r>
      <w:r w:rsidR="00D82DF4">
        <w:rPr>
          <w:rFonts w:ascii="Eurostile" w:hAnsi="Eurostile"/>
          <w:bCs/>
          <w:noProof/>
          <w:lang w:val="en-US" w:eastAsia="en-US"/>
        </w:rPr>
        <w:drawing>
          <wp:inline distT="0" distB="0" distL="0" distR="0">
            <wp:extent cx="838200" cy="685800"/>
            <wp:effectExtent l="19050" t="0" r="0" b="0"/>
            <wp:docPr id="1"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
                    <pic:cNvPicPr>
                      <a:picLocks noChangeAspect="1" noChangeArrowheads="1"/>
                    </pic:cNvPicPr>
                  </pic:nvPicPr>
                  <pic:blipFill>
                    <a:blip r:embed="rId5" cstate="print"/>
                    <a:srcRect/>
                    <a:stretch>
                      <a:fillRect/>
                    </a:stretch>
                  </pic:blipFill>
                  <pic:spPr bwMode="auto">
                    <a:xfrm>
                      <a:off x="0" y="0"/>
                      <a:ext cx="838200" cy="685800"/>
                    </a:xfrm>
                    <a:prstGeom prst="rect">
                      <a:avLst/>
                    </a:prstGeom>
                    <a:noFill/>
                    <a:ln w="9525">
                      <a:noFill/>
                      <a:miter lim="800000"/>
                      <a:headEnd/>
                      <a:tailEnd/>
                    </a:ln>
                  </pic:spPr>
                </pic:pic>
              </a:graphicData>
            </a:graphic>
          </wp:inline>
        </w:drawing>
      </w:r>
    </w:p>
    <w:p w:rsidR="006F52B4" w:rsidRDefault="00C375C7">
      <w:pPr>
        <w:rPr>
          <w:rFonts w:ascii="Eurostile" w:hAnsi="Eurostile"/>
          <w:bCs/>
          <w:color w:val="31849B" w:themeColor="accent5" w:themeShade="BF"/>
        </w:rPr>
      </w:pPr>
      <w:r w:rsidRPr="00C375C7">
        <w:rPr>
          <w:rFonts w:ascii="Eurostile" w:hAnsi="Eurostile"/>
          <w:bCs/>
          <w:color w:val="31849B" w:themeColor="accent5" w:themeShade="BF"/>
        </w:rPr>
        <w:pict>
          <v:rect id="_x0000_s1027" style="position:absolute;margin-left:-7.2pt;margin-top:9.05pt;width:280.8pt;height:43.2pt;z-index:-251655168" o:allowincell="f" strokecolor="white"/>
        </w:pict>
      </w:r>
      <w:r w:rsidR="0070452B" w:rsidRPr="0070452B">
        <w:rPr>
          <w:rFonts w:ascii="Eurostile" w:hAnsi="Eurostile"/>
          <w:bCs/>
          <w:color w:val="31849B" w:themeColor="accent5" w:themeShade="BF"/>
        </w:rPr>
        <w:t>N</w:t>
      </w:r>
      <w:r w:rsidR="00323187">
        <w:rPr>
          <w:rFonts w:ascii="Eurostile" w:hAnsi="Eurostile"/>
          <w:bCs/>
          <w:color w:val="31849B" w:themeColor="accent5" w:themeShade="BF"/>
        </w:rPr>
        <w:t>ations Unies</w:t>
      </w:r>
    </w:p>
    <w:p w:rsidR="006F52B4" w:rsidRDefault="00C375C7">
      <w:pPr>
        <w:pStyle w:val="Titre6"/>
        <w:spacing w:before="0"/>
        <w:rPr>
          <w:rFonts w:ascii="Eurostile" w:hAnsi="Eurostile"/>
          <w:bCs/>
          <w:i w:val="0"/>
          <w:iCs w:val="0"/>
          <w:color w:val="31849B" w:themeColor="accent5" w:themeShade="BF"/>
        </w:rPr>
      </w:pPr>
      <w:r w:rsidRPr="00C375C7">
        <w:rPr>
          <w:rFonts w:ascii="Eurostile" w:hAnsi="Eurostile"/>
          <w:bCs/>
          <w:i w:val="0"/>
          <w:iCs w:val="0"/>
          <w:noProof/>
          <w:color w:val="31849B" w:themeColor="accent5" w:themeShade="BF"/>
        </w:rPr>
        <w:pict>
          <v:shape id="_x0000_s1028" type="#_x0000_t202" style="position:absolute;margin-left:7in;margin-top:11.5pt;width:6pt;height:11.15pt;z-index:251662336" strokecolor="white">
            <v:textbox style="mso-next-textbox:#_x0000_s1028">
              <w:txbxContent>
                <w:p w:rsidR="00C2627E" w:rsidRPr="00C545FD" w:rsidRDefault="00C2627E" w:rsidP="00C2627E"/>
              </w:txbxContent>
            </v:textbox>
          </v:shape>
        </w:pict>
      </w:r>
      <w:r w:rsidR="0070452B" w:rsidRPr="0070452B">
        <w:rPr>
          <w:rFonts w:ascii="Eurostile" w:hAnsi="Eurostile"/>
          <w:bCs/>
          <w:i w:val="0"/>
          <w:iCs w:val="0"/>
          <w:noProof/>
          <w:color w:val="31849B" w:themeColor="accent5" w:themeShade="BF"/>
        </w:rPr>
        <w:t>C</w:t>
      </w:r>
      <w:r w:rsidR="00323187">
        <w:rPr>
          <w:rFonts w:ascii="Eurostile" w:hAnsi="Eurostile"/>
          <w:bCs/>
          <w:i w:val="0"/>
          <w:iCs w:val="0"/>
          <w:noProof/>
          <w:color w:val="31849B" w:themeColor="accent5" w:themeShade="BF"/>
        </w:rPr>
        <w:t>ommission économique pour l’Afrique</w:t>
      </w:r>
    </w:p>
    <w:p w:rsidR="006F52B4" w:rsidRDefault="0070452B">
      <w:pPr>
        <w:rPr>
          <w:rFonts w:ascii="Eurostile" w:hAnsi="Eurostile"/>
          <w:b/>
          <w:color w:val="31849B" w:themeColor="accent5" w:themeShade="BF"/>
        </w:rPr>
      </w:pPr>
      <w:r w:rsidRPr="0070452B">
        <w:rPr>
          <w:rFonts w:ascii="Eurostile" w:hAnsi="Eurostile"/>
          <w:b/>
          <w:color w:val="31849B" w:themeColor="accent5" w:themeShade="BF"/>
        </w:rPr>
        <w:t xml:space="preserve">Bureau pour l’Afrique du Nord </w:t>
      </w:r>
    </w:p>
    <w:p w:rsidR="006F52B4" w:rsidRDefault="00C375C7">
      <w:pPr>
        <w:rPr>
          <w:rFonts w:ascii="Eurostile" w:hAnsi="Eurostile"/>
          <w:bCs/>
        </w:rPr>
      </w:pPr>
      <w:r w:rsidRPr="00C375C7">
        <w:rPr>
          <w:rFonts w:ascii="Eurostile" w:hAnsi="Eurostile"/>
          <w:bCs/>
          <w:color w:val="31849B" w:themeColor="accent5" w:themeShade="BF"/>
        </w:rPr>
        <w:pict>
          <v:line id="_x0000_s1026" style="position:absolute;z-index:251660288" from="0,7.2pt" to="488.5pt,7.2pt" strokecolor="#31849b [2408]"/>
        </w:pict>
      </w:r>
    </w:p>
    <w:p w:rsidR="006F52B4" w:rsidRDefault="0070452B">
      <w:pPr>
        <w:rPr>
          <w:rFonts w:ascii="Eurostile" w:hAnsi="Eurostile"/>
          <w:bCs/>
          <w:sz w:val="22"/>
          <w:szCs w:val="22"/>
        </w:rPr>
      </w:pPr>
      <w:r w:rsidRPr="0070452B">
        <w:rPr>
          <w:rFonts w:ascii="Eurostile" w:hAnsi="Eurostile"/>
          <w:bCs/>
          <w:sz w:val="22"/>
          <w:szCs w:val="22"/>
        </w:rPr>
        <w:t xml:space="preserve">Vingt-huitième session du Comité intergouvernemental </w:t>
      </w:r>
    </w:p>
    <w:p w:rsidR="006F52B4" w:rsidRDefault="0070452B">
      <w:pPr>
        <w:rPr>
          <w:rFonts w:ascii="Eurostile" w:hAnsi="Eurostile"/>
          <w:bCs/>
          <w:sz w:val="22"/>
          <w:szCs w:val="22"/>
        </w:rPr>
      </w:pPr>
      <w:r w:rsidRPr="0070452B">
        <w:rPr>
          <w:rFonts w:ascii="Eurostile" w:hAnsi="Eurostile"/>
          <w:bCs/>
          <w:sz w:val="22"/>
          <w:szCs w:val="22"/>
        </w:rPr>
        <w:t xml:space="preserve">   </w:t>
      </w:r>
      <w:proofErr w:type="gramStart"/>
      <w:r w:rsidRPr="0070452B">
        <w:rPr>
          <w:rFonts w:ascii="Eurostile" w:hAnsi="Eurostile"/>
          <w:bCs/>
          <w:sz w:val="22"/>
          <w:szCs w:val="22"/>
        </w:rPr>
        <w:t>d’experts</w:t>
      </w:r>
      <w:proofErr w:type="gramEnd"/>
      <w:r w:rsidRPr="0070452B">
        <w:rPr>
          <w:rFonts w:ascii="Eurostile" w:hAnsi="Eurostile"/>
          <w:bCs/>
          <w:sz w:val="22"/>
          <w:szCs w:val="22"/>
        </w:rPr>
        <w:t xml:space="preserve"> (CIE)</w:t>
      </w:r>
    </w:p>
    <w:p w:rsidR="006F52B4" w:rsidRDefault="006F52B4">
      <w:pPr>
        <w:rPr>
          <w:rFonts w:ascii="Eurostile" w:hAnsi="Eurostile"/>
          <w:bCs/>
          <w:sz w:val="22"/>
          <w:szCs w:val="22"/>
        </w:rPr>
      </w:pPr>
    </w:p>
    <w:p w:rsidR="006F52B4" w:rsidRDefault="0070452B">
      <w:pPr>
        <w:rPr>
          <w:rFonts w:ascii="Eurostile" w:hAnsi="Eurostile"/>
          <w:bCs/>
          <w:sz w:val="22"/>
          <w:szCs w:val="22"/>
        </w:rPr>
      </w:pPr>
      <w:r w:rsidRPr="0070452B">
        <w:rPr>
          <w:rFonts w:ascii="Eurostile" w:hAnsi="Eurostile"/>
          <w:bCs/>
          <w:sz w:val="22"/>
          <w:szCs w:val="22"/>
        </w:rPr>
        <w:t>Rabat (Maroc)</w:t>
      </w:r>
    </w:p>
    <w:p w:rsidR="006F52B4" w:rsidRDefault="0070452B" w:rsidP="005B71D7">
      <w:pPr>
        <w:rPr>
          <w:rFonts w:ascii="Eurostile" w:hAnsi="Eurostile"/>
          <w:bCs/>
          <w:sz w:val="22"/>
          <w:szCs w:val="22"/>
        </w:rPr>
      </w:pPr>
      <w:r w:rsidRPr="0070452B">
        <w:rPr>
          <w:rFonts w:ascii="Eurostile" w:hAnsi="Eurostile"/>
          <w:bCs/>
          <w:sz w:val="22"/>
          <w:szCs w:val="22"/>
        </w:rPr>
        <w:t xml:space="preserve">26 février </w:t>
      </w:r>
      <w:r w:rsidR="005B71D7">
        <w:rPr>
          <w:rFonts w:ascii="Eurostile" w:hAnsi="Eurostile"/>
          <w:bCs/>
          <w:sz w:val="22"/>
          <w:szCs w:val="22"/>
        </w:rPr>
        <w:t>-</w:t>
      </w:r>
      <w:r w:rsidRPr="0070452B">
        <w:rPr>
          <w:rFonts w:ascii="Eurostile" w:hAnsi="Eurostile"/>
          <w:bCs/>
          <w:sz w:val="22"/>
          <w:szCs w:val="22"/>
        </w:rPr>
        <w:t xml:space="preserve"> 1</w:t>
      </w:r>
      <w:r w:rsidRPr="0070452B">
        <w:rPr>
          <w:rFonts w:ascii="Eurostile" w:hAnsi="Eurostile"/>
          <w:bCs/>
          <w:sz w:val="22"/>
          <w:szCs w:val="22"/>
          <w:vertAlign w:val="superscript"/>
        </w:rPr>
        <w:t>er</w:t>
      </w:r>
      <w:r w:rsidRPr="0070452B">
        <w:rPr>
          <w:rFonts w:ascii="Eurostile" w:hAnsi="Eurostile"/>
          <w:bCs/>
          <w:sz w:val="22"/>
          <w:szCs w:val="22"/>
        </w:rPr>
        <w:t xml:space="preserve"> mars 2013</w:t>
      </w:r>
    </w:p>
    <w:p w:rsidR="006F52B4" w:rsidRDefault="006F52B4">
      <w:pPr>
        <w:rPr>
          <w:rFonts w:ascii="Eurostile" w:hAnsi="Eurostile"/>
          <w:bCs/>
          <w:sz w:val="22"/>
          <w:szCs w:val="22"/>
        </w:rPr>
      </w:pPr>
    </w:p>
    <w:p w:rsidR="00C2627E" w:rsidRPr="00323187" w:rsidRDefault="00C2627E" w:rsidP="00C2627E">
      <w:pPr>
        <w:pStyle w:val="Sous-titre"/>
        <w:ind w:left="2640" w:hanging="1200"/>
        <w:rPr>
          <w:rFonts w:ascii="Eurostile" w:hAnsi="Eurostile" w:cs="Times New Roman"/>
          <w:sz w:val="20"/>
          <w:szCs w:val="20"/>
          <w:lang w:val="fr-FR"/>
        </w:rPr>
      </w:pPr>
    </w:p>
    <w:p w:rsidR="006F52B4" w:rsidRDefault="0070452B" w:rsidP="00BB3603">
      <w:pPr>
        <w:pStyle w:val="Sous-titre"/>
        <w:ind w:right="-426"/>
        <w:jc w:val="center"/>
        <w:rPr>
          <w:rFonts w:ascii="Eurostile" w:hAnsi="Eurostile" w:cs="Times New Roman"/>
          <w:color w:val="31849B" w:themeColor="accent5" w:themeShade="BF"/>
          <w:sz w:val="21"/>
          <w:szCs w:val="21"/>
          <w:lang w:val="fr-FR"/>
        </w:rPr>
      </w:pPr>
      <w:r w:rsidRPr="0070452B">
        <w:rPr>
          <w:rFonts w:ascii="Eurostile" w:hAnsi="Eurostile" w:cs="Times New Roman"/>
          <w:color w:val="31849B" w:themeColor="accent5" w:themeShade="BF"/>
          <w:sz w:val="21"/>
          <w:szCs w:val="21"/>
          <w:lang w:val="fr-FR"/>
        </w:rPr>
        <w:t>Thème</w:t>
      </w:r>
      <w:r w:rsidR="005B71D7">
        <w:rPr>
          <w:rFonts w:ascii="Eurostile" w:hAnsi="Eurostile" w:cs="Times New Roman"/>
          <w:color w:val="31849B" w:themeColor="accent5" w:themeShade="BF"/>
          <w:sz w:val="21"/>
          <w:szCs w:val="21"/>
          <w:lang w:val="fr-FR"/>
        </w:rPr>
        <w:t>: "</w:t>
      </w:r>
      <w:r w:rsidRPr="0070452B">
        <w:rPr>
          <w:rFonts w:ascii="Eurostile" w:hAnsi="Eurostile"/>
          <w:i/>
          <w:color w:val="31849B" w:themeColor="accent5" w:themeShade="BF"/>
          <w:lang w:val="fr-FR"/>
        </w:rPr>
        <w:t>Promo</w:t>
      </w:r>
      <w:r w:rsidRPr="0070452B">
        <w:rPr>
          <w:rFonts w:ascii="Eurostile" w:hAnsi="Eurostile"/>
          <w:bCs w:val="0"/>
          <w:i/>
          <w:color w:val="31849B" w:themeColor="accent5" w:themeShade="BF"/>
          <w:lang w:val="fr-FR"/>
        </w:rPr>
        <w:t>uvoir</w:t>
      </w:r>
      <w:r w:rsidRPr="0070452B">
        <w:rPr>
          <w:rFonts w:ascii="Eurostile" w:hAnsi="Eurostile"/>
          <w:i/>
          <w:color w:val="31849B" w:themeColor="accent5" w:themeShade="BF"/>
          <w:lang w:val="fr-FR"/>
        </w:rPr>
        <w:t xml:space="preserve"> la diversification et la</w:t>
      </w:r>
      <w:r w:rsidR="00BB3603">
        <w:rPr>
          <w:rFonts w:ascii="Eurostile" w:hAnsi="Eurostile"/>
          <w:i/>
          <w:color w:val="31849B" w:themeColor="accent5" w:themeShade="BF"/>
          <w:lang w:val="fr-FR"/>
        </w:rPr>
        <w:t xml:space="preserve"> </w:t>
      </w:r>
      <w:r w:rsidRPr="0070452B">
        <w:rPr>
          <w:rFonts w:ascii="Eurostile" w:hAnsi="Eurostile"/>
          <w:i/>
          <w:color w:val="31849B" w:themeColor="accent5" w:themeShade="BF"/>
          <w:lang w:val="fr-FR"/>
        </w:rPr>
        <w:t xml:space="preserve">sophistication pour la transformation structurelle des économies </w:t>
      </w:r>
      <w:r w:rsidRPr="0070452B">
        <w:rPr>
          <w:rFonts w:ascii="Eurostile" w:hAnsi="Eurostile"/>
          <w:bCs w:val="0"/>
          <w:i/>
          <w:color w:val="31849B" w:themeColor="accent5" w:themeShade="BF"/>
          <w:lang w:val="fr-FR"/>
        </w:rPr>
        <w:t xml:space="preserve">en </w:t>
      </w:r>
      <w:r w:rsidRPr="0070452B">
        <w:rPr>
          <w:rFonts w:ascii="Eurostile" w:hAnsi="Eurostile"/>
          <w:i/>
          <w:color w:val="31849B" w:themeColor="accent5" w:themeShade="BF"/>
          <w:lang w:val="fr-FR"/>
        </w:rPr>
        <w:t>Afrique du Nord</w:t>
      </w:r>
      <w:r w:rsidR="005B71D7">
        <w:rPr>
          <w:rFonts w:ascii="Eurostile" w:hAnsi="Eurostile"/>
          <w:i/>
          <w:color w:val="31849B" w:themeColor="accent5" w:themeShade="BF"/>
          <w:lang w:val="fr-FR"/>
        </w:rPr>
        <w:t xml:space="preserve"> </w:t>
      </w:r>
      <w:r w:rsidR="005B71D7">
        <w:rPr>
          <w:rFonts w:ascii="Eurostile" w:hAnsi="Eurostile" w:cs="Times New Roman"/>
          <w:color w:val="31849B" w:themeColor="accent5" w:themeShade="BF"/>
          <w:sz w:val="21"/>
          <w:szCs w:val="21"/>
          <w:lang w:val="fr-FR"/>
        </w:rPr>
        <w:t>"</w:t>
      </w:r>
    </w:p>
    <w:p w:rsidR="00C2627E" w:rsidRPr="00262ECA" w:rsidRDefault="00C2627E" w:rsidP="00C2627E">
      <w:pPr>
        <w:pStyle w:val="Pieddepage"/>
        <w:tabs>
          <w:tab w:val="clear" w:pos="4320"/>
          <w:tab w:val="clear" w:pos="8640"/>
          <w:tab w:val="left" w:pos="567"/>
          <w:tab w:val="left" w:pos="4820"/>
        </w:tabs>
        <w:ind w:left="144" w:right="144"/>
        <w:jc w:val="center"/>
        <w:rPr>
          <w:rFonts w:ascii="Eurostile" w:hAnsi="Eurostile"/>
          <w:b/>
          <w:sz w:val="16"/>
          <w:szCs w:val="16"/>
          <w:lang w:val="fr-FR"/>
        </w:rPr>
      </w:pPr>
    </w:p>
    <w:p w:rsidR="00C2627E" w:rsidRPr="00262ECA" w:rsidRDefault="00C2627E" w:rsidP="00C2627E">
      <w:pPr>
        <w:pStyle w:val="Pieddepage"/>
        <w:tabs>
          <w:tab w:val="clear" w:pos="4320"/>
          <w:tab w:val="clear" w:pos="8640"/>
          <w:tab w:val="left" w:pos="567"/>
          <w:tab w:val="left" w:pos="4820"/>
        </w:tabs>
        <w:ind w:left="144" w:right="144"/>
        <w:jc w:val="center"/>
        <w:rPr>
          <w:rFonts w:ascii="Eurostile" w:hAnsi="Eurostile"/>
          <w:b/>
          <w:sz w:val="21"/>
          <w:szCs w:val="21"/>
          <w:lang w:val="fr-FR"/>
        </w:rPr>
      </w:pPr>
    </w:p>
    <w:p w:rsidR="00323187" w:rsidRDefault="00323187" w:rsidP="00C2627E">
      <w:pPr>
        <w:pStyle w:val="Pieddepage"/>
        <w:tabs>
          <w:tab w:val="clear" w:pos="4320"/>
          <w:tab w:val="clear" w:pos="8640"/>
          <w:tab w:val="left" w:pos="567"/>
          <w:tab w:val="left" w:pos="4820"/>
        </w:tabs>
        <w:ind w:left="144" w:right="144"/>
        <w:jc w:val="center"/>
        <w:rPr>
          <w:rFonts w:ascii="Eurostile" w:hAnsi="Eurostile"/>
          <w:b/>
          <w:sz w:val="24"/>
          <w:szCs w:val="24"/>
          <w:lang w:val="fr-FR"/>
        </w:rPr>
      </w:pPr>
    </w:p>
    <w:p w:rsidR="00C2627E" w:rsidRPr="002646A7" w:rsidRDefault="0070452B" w:rsidP="00C2627E">
      <w:pPr>
        <w:pStyle w:val="Pieddepage"/>
        <w:tabs>
          <w:tab w:val="clear" w:pos="4320"/>
          <w:tab w:val="clear" w:pos="8640"/>
          <w:tab w:val="left" w:pos="567"/>
          <w:tab w:val="left" w:pos="4820"/>
        </w:tabs>
        <w:ind w:left="144" w:right="144"/>
        <w:jc w:val="center"/>
        <w:rPr>
          <w:rFonts w:ascii="Eurostile" w:hAnsi="Eurostile" w:cs="Courier New"/>
          <w:b/>
          <w:bCs/>
          <w:iCs/>
          <w:snapToGrid w:val="0"/>
          <w:color w:val="31849B" w:themeColor="accent5" w:themeShade="BF"/>
          <w:sz w:val="32"/>
          <w:szCs w:val="32"/>
          <w:lang w:val="fr-FR"/>
        </w:rPr>
      </w:pPr>
      <w:r w:rsidRPr="002646A7">
        <w:rPr>
          <w:rFonts w:ascii="Eurostile" w:hAnsi="Eurostile" w:cs="Courier New"/>
          <w:b/>
          <w:bCs/>
          <w:iCs/>
          <w:snapToGrid w:val="0"/>
          <w:color w:val="31849B" w:themeColor="accent5" w:themeShade="BF"/>
          <w:sz w:val="32"/>
          <w:szCs w:val="32"/>
          <w:lang w:val="fr-FR"/>
        </w:rPr>
        <w:t xml:space="preserve">ORDRE DU JOUR PROVISOIRE </w:t>
      </w:r>
    </w:p>
    <w:p w:rsidR="00323187" w:rsidRPr="00323187" w:rsidRDefault="00323187" w:rsidP="00C2627E">
      <w:pPr>
        <w:pStyle w:val="Pieddepage"/>
        <w:tabs>
          <w:tab w:val="clear" w:pos="4320"/>
          <w:tab w:val="clear" w:pos="8640"/>
          <w:tab w:val="left" w:pos="567"/>
          <w:tab w:val="left" w:pos="4820"/>
        </w:tabs>
        <w:ind w:left="144" w:right="144"/>
        <w:jc w:val="center"/>
        <w:rPr>
          <w:rFonts w:ascii="Eurostile" w:hAnsi="Eurostile"/>
          <w:b/>
          <w:sz w:val="24"/>
          <w:szCs w:val="24"/>
          <w:lang w:val="fr-FR"/>
        </w:rPr>
      </w:pPr>
    </w:p>
    <w:p w:rsidR="00C2627E" w:rsidRPr="009549FB" w:rsidRDefault="00C2627E" w:rsidP="00C2627E">
      <w:pPr>
        <w:pStyle w:val="Pieddepage"/>
        <w:tabs>
          <w:tab w:val="clear" w:pos="4320"/>
          <w:tab w:val="clear" w:pos="8640"/>
          <w:tab w:val="left" w:pos="567"/>
          <w:tab w:val="left" w:pos="4820"/>
        </w:tabs>
        <w:ind w:left="144" w:right="144"/>
        <w:jc w:val="center"/>
        <w:rPr>
          <w:b/>
          <w:sz w:val="21"/>
          <w:szCs w:val="21"/>
          <w:lang w:val="fr-FR"/>
        </w:rPr>
      </w:pPr>
    </w:p>
    <w:p w:rsidR="006F52B4" w:rsidRPr="002646A7" w:rsidRDefault="0070452B">
      <w:pPr>
        <w:pStyle w:val="NormalWeb"/>
        <w:numPr>
          <w:ilvl w:val="0"/>
          <w:numId w:val="1"/>
        </w:numPr>
        <w:spacing w:before="0" w:beforeAutospacing="0" w:after="240" w:afterAutospacing="0"/>
        <w:ind w:left="480" w:right="144" w:hanging="480"/>
        <w:jc w:val="both"/>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Séance d’ouverture</w:t>
      </w:r>
    </w:p>
    <w:p w:rsidR="006F52B4" w:rsidRPr="002646A7" w:rsidRDefault="0070452B">
      <w:pPr>
        <w:pStyle w:val="NormalWeb"/>
        <w:numPr>
          <w:ilvl w:val="0"/>
          <w:numId w:val="1"/>
        </w:numPr>
        <w:spacing w:before="0" w:beforeAutospacing="0" w:after="240" w:afterAutospacing="0"/>
        <w:ind w:left="480" w:right="144" w:hanging="480"/>
        <w:jc w:val="both"/>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Election du bureau</w:t>
      </w:r>
    </w:p>
    <w:p w:rsidR="006F52B4" w:rsidRPr="002646A7" w:rsidRDefault="0070452B">
      <w:pPr>
        <w:pStyle w:val="Corpsdetexte"/>
        <w:numPr>
          <w:ilvl w:val="0"/>
          <w:numId w:val="1"/>
        </w:numPr>
        <w:tabs>
          <w:tab w:val="clear" w:pos="567"/>
          <w:tab w:val="left" w:pos="480"/>
        </w:tabs>
        <w:spacing w:after="240"/>
        <w:ind w:left="480" w:right="144" w:hanging="480"/>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Adoption de l’ordre du jour et du programme de travail</w:t>
      </w:r>
    </w:p>
    <w:p w:rsidR="006F52B4" w:rsidRPr="002646A7" w:rsidRDefault="0070452B">
      <w:pPr>
        <w:pStyle w:val="Corpsdetexte"/>
        <w:numPr>
          <w:ilvl w:val="0"/>
          <w:numId w:val="1"/>
        </w:numPr>
        <w:tabs>
          <w:tab w:val="clear" w:pos="567"/>
          <w:tab w:val="left" w:pos="480"/>
        </w:tabs>
        <w:spacing w:after="240"/>
        <w:ind w:left="480" w:right="144" w:hanging="480"/>
        <w:rPr>
          <w:rFonts w:ascii="Eurostile" w:hAnsi="Eurostile"/>
          <w:color w:val="215868" w:themeColor="accent5" w:themeShade="80"/>
          <w:sz w:val="22"/>
          <w:szCs w:val="22"/>
          <w:lang w:val="fr-FR" w:bidi="ar-MA"/>
        </w:rPr>
      </w:pPr>
      <w:bookmarkStart w:id="0" w:name="OLE_LINK1"/>
      <w:r w:rsidRPr="002646A7">
        <w:rPr>
          <w:rFonts w:ascii="Eurostile" w:hAnsi="Eurostile"/>
          <w:color w:val="215868" w:themeColor="accent5" w:themeShade="80"/>
          <w:sz w:val="22"/>
          <w:szCs w:val="22"/>
          <w:lang w:val="fr-FR"/>
        </w:rPr>
        <w:t>Rapport sur les conditions économiques et sociales en Afrique du Nord, 2011-2012</w:t>
      </w:r>
    </w:p>
    <w:bookmarkEnd w:id="0"/>
    <w:p w:rsidR="006F52B4" w:rsidRPr="002646A7" w:rsidRDefault="0070452B" w:rsidP="005B71D7">
      <w:pPr>
        <w:pStyle w:val="Corpsdetexte"/>
        <w:numPr>
          <w:ilvl w:val="0"/>
          <w:numId w:val="1"/>
        </w:numPr>
        <w:tabs>
          <w:tab w:val="clear" w:pos="567"/>
          <w:tab w:val="left" w:pos="426"/>
          <w:tab w:val="left" w:pos="480"/>
        </w:tabs>
        <w:spacing w:after="240"/>
        <w:ind w:left="426" w:right="144" w:hanging="426"/>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Session spéciale: « </w:t>
      </w:r>
      <w:r w:rsidRPr="002646A7">
        <w:rPr>
          <w:rFonts w:ascii="Eurostile" w:hAnsi="Eurostile"/>
          <w:i/>
          <w:color w:val="215868" w:themeColor="accent5" w:themeShade="80"/>
          <w:sz w:val="22"/>
          <w:szCs w:val="22"/>
          <w:lang w:val="fr-FR"/>
        </w:rPr>
        <w:t>Promouvoir la diversification et la sophistication pour la transformation structurelle des économies en Afrique du Nord </w:t>
      </w:r>
      <w:r w:rsidRPr="002646A7">
        <w:rPr>
          <w:rFonts w:ascii="Eurostile" w:hAnsi="Eurostile"/>
          <w:i/>
          <w:iCs/>
          <w:color w:val="215868" w:themeColor="accent5" w:themeShade="80"/>
          <w:sz w:val="22"/>
          <w:szCs w:val="22"/>
          <w:lang w:val="fr-FR"/>
        </w:rPr>
        <w:t>»</w:t>
      </w:r>
      <w:r w:rsidRPr="002646A7">
        <w:rPr>
          <w:rFonts w:ascii="Eurostile" w:hAnsi="Eurostile"/>
          <w:color w:val="215868" w:themeColor="accent5" w:themeShade="80"/>
          <w:sz w:val="22"/>
          <w:szCs w:val="22"/>
          <w:lang w:val="fr-FR"/>
        </w:rPr>
        <w:t xml:space="preserve">  </w:t>
      </w:r>
    </w:p>
    <w:p w:rsidR="006F52B4" w:rsidRPr="002646A7" w:rsidRDefault="0070452B">
      <w:pPr>
        <w:numPr>
          <w:ilvl w:val="0"/>
          <w:numId w:val="1"/>
        </w:numPr>
        <w:tabs>
          <w:tab w:val="left" w:pos="480"/>
        </w:tabs>
        <w:autoSpaceDE w:val="0"/>
        <w:autoSpaceDN w:val="0"/>
        <w:adjustRightInd w:val="0"/>
        <w:spacing w:after="240" w:line="240" w:lineRule="atLeast"/>
        <w:ind w:left="426" w:right="-240" w:hanging="426"/>
        <w:jc w:val="both"/>
        <w:rPr>
          <w:rFonts w:ascii="Eurostile" w:hAnsi="Eurostile"/>
          <w:color w:val="215868" w:themeColor="accent5" w:themeShade="80"/>
          <w:sz w:val="22"/>
          <w:szCs w:val="22"/>
          <w:lang w:bidi="ar-MA"/>
        </w:rPr>
      </w:pPr>
      <w:r w:rsidRPr="002646A7">
        <w:rPr>
          <w:rFonts w:ascii="Eurostile" w:hAnsi="Eurostile"/>
          <w:color w:val="215868" w:themeColor="accent5" w:themeShade="80"/>
          <w:sz w:val="22"/>
          <w:szCs w:val="22"/>
        </w:rPr>
        <w:t xml:space="preserve">Perspectives de développement Post-2015 </w:t>
      </w:r>
    </w:p>
    <w:p w:rsidR="006F52B4" w:rsidRPr="002646A7" w:rsidRDefault="0070452B" w:rsidP="005B71D7">
      <w:pPr>
        <w:pStyle w:val="Corpsdetexte"/>
        <w:numPr>
          <w:ilvl w:val="0"/>
          <w:numId w:val="1"/>
        </w:numPr>
        <w:tabs>
          <w:tab w:val="clear" w:pos="567"/>
          <w:tab w:val="left" w:pos="480"/>
        </w:tabs>
        <w:spacing w:after="240"/>
        <w:ind w:left="426" w:right="144" w:hanging="426"/>
        <w:rPr>
          <w:rFonts w:ascii="Eurostile" w:hAnsi="Eurostile"/>
          <w:color w:val="215868" w:themeColor="accent5" w:themeShade="80"/>
          <w:sz w:val="22"/>
          <w:szCs w:val="22"/>
          <w:lang w:val="fr-FR" w:bidi="ar-MA"/>
        </w:rPr>
      </w:pPr>
      <w:r w:rsidRPr="002646A7">
        <w:rPr>
          <w:rFonts w:ascii="Eurostile" w:hAnsi="Eurostile"/>
          <w:color w:val="215868" w:themeColor="accent5" w:themeShade="80"/>
          <w:sz w:val="22"/>
          <w:szCs w:val="22"/>
          <w:lang w:val="fr-FR"/>
        </w:rPr>
        <w:t>Activités du Bureau (mars 2012 – février 2013) et Présentation du</w:t>
      </w:r>
      <w:r w:rsidRPr="002646A7">
        <w:rPr>
          <w:rFonts w:ascii="Eurostile" w:hAnsi="Eurostile"/>
          <w:color w:val="215868" w:themeColor="accent5" w:themeShade="80"/>
          <w:sz w:val="22"/>
          <w:szCs w:val="22"/>
          <w:lang w:val="fr-FR" w:bidi="ar-MA"/>
        </w:rPr>
        <w:t xml:space="preserve"> </w:t>
      </w:r>
      <w:r w:rsidRPr="002646A7">
        <w:rPr>
          <w:rFonts w:ascii="Eurostile" w:hAnsi="Eurostile"/>
          <w:color w:val="215868" w:themeColor="accent5" w:themeShade="80"/>
          <w:sz w:val="22"/>
          <w:szCs w:val="22"/>
          <w:lang w:val="fr-FR"/>
        </w:rPr>
        <w:t xml:space="preserve">programme d’activités 2013 de la CEA-AN </w:t>
      </w:r>
    </w:p>
    <w:p w:rsidR="006F52B4" w:rsidRPr="002646A7" w:rsidRDefault="0070452B">
      <w:pPr>
        <w:pStyle w:val="Corpsdetexte"/>
        <w:numPr>
          <w:ilvl w:val="0"/>
          <w:numId w:val="1"/>
        </w:numPr>
        <w:tabs>
          <w:tab w:val="clear" w:pos="567"/>
          <w:tab w:val="left" w:pos="480"/>
        </w:tabs>
        <w:spacing w:after="240"/>
        <w:ind w:left="600" w:right="144" w:hanging="600"/>
        <w:rPr>
          <w:rFonts w:ascii="Eurostile" w:hAnsi="Eurostile"/>
          <w:color w:val="215868" w:themeColor="accent5" w:themeShade="80"/>
          <w:sz w:val="22"/>
          <w:szCs w:val="22"/>
          <w:lang w:val="fr-FR" w:bidi="ar-MA"/>
        </w:rPr>
      </w:pPr>
      <w:r w:rsidRPr="002646A7">
        <w:rPr>
          <w:rFonts w:ascii="Eurostile" w:hAnsi="Eurostile"/>
          <w:color w:val="215868" w:themeColor="accent5" w:themeShade="80"/>
          <w:sz w:val="22"/>
          <w:szCs w:val="22"/>
          <w:lang w:val="fr-FR" w:bidi="ar-MA"/>
        </w:rPr>
        <w:t>Projet de programme de travail 2014-2015</w:t>
      </w:r>
    </w:p>
    <w:p w:rsidR="006F52B4" w:rsidRPr="002646A7" w:rsidRDefault="0070452B">
      <w:pPr>
        <w:numPr>
          <w:ilvl w:val="0"/>
          <w:numId w:val="1"/>
        </w:numPr>
        <w:tabs>
          <w:tab w:val="left" w:pos="480"/>
        </w:tabs>
        <w:spacing w:after="240"/>
        <w:ind w:left="600" w:hanging="600"/>
        <w:jc w:val="both"/>
        <w:rPr>
          <w:rFonts w:ascii="Eurostile" w:hAnsi="Eurostile"/>
          <w:color w:val="215868" w:themeColor="accent5" w:themeShade="80"/>
          <w:sz w:val="22"/>
          <w:szCs w:val="22"/>
          <w:lang w:bidi="ar-MA"/>
        </w:rPr>
      </w:pPr>
      <w:r w:rsidRPr="002646A7">
        <w:rPr>
          <w:rFonts w:ascii="Eurostile" w:hAnsi="Eurostile"/>
          <w:color w:val="215868" w:themeColor="accent5" w:themeShade="80"/>
          <w:sz w:val="22"/>
          <w:szCs w:val="22"/>
        </w:rPr>
        <w:t xml:space="preserve">Activités de la </w:t>
      </w:r>
      <w:smartTag w:uri="urn:schemas-microsoft-com:office:smarttags" w:element="stockticker">
        <w:r w:rsidRPr="002646A7">
          <w:rPr>
            <w:rFonts w:ascii="Eurostile" w:hAnsi="Eurostile"/>
            <w:color w:val="215868" w:themeColor="accent5" w:themeShade="80"/>
            <w:sz w:val="22"/>
            <w:szCs w:val="22"/>
          </w:rPr>
          <w:t>CEA</w:t>
        </w:r>
      </w:smartTag>
    </w:p>
    <w:p w:rsidR="006F52B4" w:rsidRPr="002646A7" w:rsidRDefault="0070452B">
      <w:pPr>
        <w:numPr>
          <w:ilvl w:val="0"/>
          <w:numId w:val="1"/>
        </w:numPr>
        <w:tabs>
          <w:tab w:val="left" w:pos="480"/>
        </w:tabs>
        <w:spacing w:after="240"/>
        <w:ind w:left="600" w:hanging="600"/>
        <w:jc w:val="both"/>
        <w:rPr>
          <w:rFonts w:ascii="Eurostile" w:hAnsi="Eurostile"/>
          <w:color w:val="215868" w:themeColor="accent5" w:themeShade="80"/>
          <w:sz w:val="22"/>
          <w:szCs w:val="22"/>
          <w:lang w:bidi="ar-MA"/>
        </w:rPr>
      </w:pPr>
      <w:r w:rsidRPr="002646A7">
        <w:rPr>
          <w:rFonts w:ascii="Eurostile" w:hAnsi="Eurostile"/>
          <w:color w:val="215868" w:themeColor="accent5" w:themeShade="80"/>
          <w:sz w:val="22"/>
          <w:szCs w:val="22"/>
          <w:lang w:bidi="ar-MA"/>
        </w:rPr>
        <w:t>Session spéciale sur l’intégration régionale en Afrique du Nord</w:t>
      </w:r>
    </w:p>
    <w:p w:rsidR="006F52B4" w:rsidRPr="002646A7" w:rsidRDefault="0070452B">
      <w:pPr>
        <w:pStyle w:val="NormalWeb"/>
        <w:numPr>
          <w:ilvl w:val="0"/>
          <w:numId w:val="1"/>
        </w:numPr>
        <w:spacing w:before="0" w:beforeAutospacing="0" w:after="240" w:afterAutospacing="0"/>
        <w:ind w:left="480" w:right="144" w:hanging="480"/>
        <w:jc w:val="both"/>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Examen et approbation des recommandations de la réunion ad hoc d’experts sur le thème ‘</w:t>
      </w:r>
      <w:r w:rsidRPr="002646A7">
        <w:rPr>
          <w:rFonts w:ascii="Eurostile" w:hAnsi="Eurostile"/>
          <w:i/>
          <w:color w:val="215868" w:themeColor="accent5" w:themeShade="80"/>
          <w:sz w:val="22"/>
          <w:szCs w:val="22"/>
          <w:lang w:val="fr-FR"/>
        </w:rPr>
        <w:t>Sophistication et diversification des économies nord-africaines’ </w:t>
      </w:r>
      <w:r w:rsidRPr="002646A7">
        <w:rPr>
          <w:rFonts w:ascii="Eurostile" w:hAnsi="Eurostile"/>
          <w:color w:val="215868" w:themeColor="accent5" w:themeShade="80"/>
          <w:sz w:val="22"/>
          <w:szCs w:val="22"/>
          <w:lang w:val="fr-FR"/>
        </w:rPr>
        <w:t xml:space="preserve"> </w:t>
      </w:r>
    </w:p>
    <w:p w:rsidR="006F52B4" w:rsidRPr="002646A7" w:rsidRDefault="0070452B">
      <w:pPr>
        <w:pStyle w:val="NormalWeb"/>
        <w:numPr>
          <w:ilvl w:val="0"/>
          <w:numId w:val="1"/>
        </w:numPr>
        <w:spacing w:before="0" w:beforeAutospacing="0" w:after="240" w:afterAutospacing="0"/>
        <w:ind w:left="480" w:right="144" w:hanging="480"/>
        <w:jc w:val="both"/>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Examen et adoption des recommandations et du rapport du CIE</w:t>
      </w:r>
    </w:p>
    <w:p w:rsidR="006F52B4" w:rsidRPr="002646A7" w:rsidRDefault="0070452B">
      <w:pPr>
        <w:pStyle w:val="NormalWeb"/>
        <w:numPr>
          <w:ilvl w:val="0"/>
          <w:numId w:val="1"/>
        </w:numPr>
        <w:tabs>
          <w:tab w:val="left" w:pos="480"/>
        </w:tabs>
        <w:spacing w:before="0" w:beforeAutospacing="0" w:after="240" w:afterAutospacing="0"/>
        <w:ind w:left="600" w:right="144" w:hanging="600"/>
        <w:jc w:val="both"/>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 xml:space="preserve">Date et lieu de la prochaine réunion du CIE </w:t>
      </w:r>
    </w:p>
    <w:p w:rsidR="006F52B4" w:rsidRPr="002646A7" w:rsidRDefault="0070452B">
      <w:pPr>
        <w:pStyle w:val="NormalWeb"/>
        <w:numPr>
          <w:ilvl w:val="0"/>
          <w:numId w:val="1"/>
        </w:numPr>
        <w:spacing w:before="0" w:beforeAutospacing="0" w:after="240" w:afterAutospacing="0"/>
        <w:ind w:left="480" w:right="144" w:hanging="480"/>
        <w:jc w:val="both"/>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Questions diverses</w:t>
      </w:r>
    </w:p>
    <w:p w:rsidR="00DE4524" w:rsidRPr="002646A7" w:rsidRDefault="0070452B">
      <w:pPr>
        <w:pStyle w:val="NormalWeb"/>
        <w:numPr>
          <w:ilvl w:val="0"/>
          <w:numId w:val="1"/>
        </w:numPr>
        <w:spacing w:before="0" w:beforeAutospacing="0" w:after="240" w:afterAutospacing="0"/>
        <w:ind w:left="480" w:right="144" w:hanging="480"/>
        <w:jc w:val="both"/>
        <w:rPr>
          <w:rFonts w:ascii="Eurostile" w:hAnsi="Eurostile"/>
          <w:color w:val="215868" w:themeColor="accent5" w:themeShade="80"/>
          <w:sz w:val="22"/>
          <w:szCs w:val="22"/>
          <w:lang w:val="fr-FR"/>
        </w:rPr>
      </w:pPr>
      <w:r w:rsidRPr="002646A7">
        <w:rPr>
          <w:rFonts w:ascii="Eurostile" w:hAnsi="Eurostile"/>
          <w:color w:val="215868" w:themeColor="accent5" w:themeShade="80"/>
          <w:sz w:val="22"/>
          <w:szCs w:val="22"/>
          <w:lang w:val="fr-FR"/>
        </w:rPr>
        <w:t xml:space="preserve">Clôture de la réunion </w:t>
      </w:r>
    </w:p>
    <w:p w:rsidR="00780AA9" w:rsidRPr="001707AF" w:rsidRDefault="00C375C7" w:rsidP="00780AA9">
      <w:pPr>
        <w:rPr>
          <w:rFonts w:ascii="Eurostile" w:hAnsi="Eurostile"/>
          <w:bCs/>
        </w:rPr>
      </w:pPr>
      <w:r w:rsidRPr="00C375C7">
        <w:rPr>
          <w:rFonts w:ascii="Eurostile" w:hAnsi="Eurostile"/>
          <w:bCs/>
          <w:noProof/>
          <w:sz w:val="22"/>
          <w:szCs w:val="22"/>
          <w:lang w:val="en-US" w:eastAsia="en-US"/>
        </w:rPr>
        <w:lastRenderedPageBreak/>
        <w:pict>
          <v:shape id="_x0000_s1035" type="#_x0000_t202" style="position:absolute;margin-left:335.65pt;margin-top:-3.25pt;width:175.35pt;height:90pt;z-index:251668480" filled="f" stroked="f">
            <v:textbox style="mso-next-textbox:#_x0000_s1035">
              <w:txbxContent>
                <w:p w:rsidR="00780AA9" w:rsidRPr="00323187" w:rsidRDefault="00780AA9" w:rsidP="00780AA9">
                  <w:pPr>
                    <w:rPr>
                      <w:rFonts w:ascii="Eurostile" w:hAnsi="Eurostile"/>
                      <w:sz w:val="22"/>
                      <w:szCs w:val="22"/>
                      <w:lang w:val="en-US"/>
                    </w:rPr>
                  </w:pPr>
                  <w:r w:rsidRPr="0070452B">
                    <w:rPr>
                      <w:rFonts w:ascii="Eurostile" w:hAnsi="Eurostile"/>
                      <w:sz w:val="22"/>
                      <w:szCs w:val="22"/>
                      <w:lang w:val="en-US"/>
                    </w:rPr>
                    <w:t>Distr.: GENERALE</w:t>
                  </w:r>
                </w:p>
                <w:p w:rsidR="00780AA9" w:rsidRDefault="00780AA9" w:rsidP="00780AA9">
                  <w:pPr>
                    <w:rPr>
                      <w:rFonts w:ascii="Eurostile" w:hAnsi="Eurostile"/>
                      <w:sz w:val="22"/>
                      <w:szCs w:val="22"/>
                      <w:lang w:val="en-US"/>
                    </w:rPr>
                  </w:pPr>
                </w:p>
                <w:p w:rsidR="00780AA9" w:rsidRPr="00780AA9" w:rsidRDefault="00780AA9" w:rsidP="00780AA9">
                  <w:pPr>
                    <w:rPr>
                      <w:rFonts w:ascii="Eurostile" w:hAnsi="Eurostile"/>
                      <w:sz w:val="22"/>
                      <w:szCs w:val="22"/>
                      <w:lang w:val="en-US"/>
                    </w:rPr>
                  </w:pPr>
                  <w:r w:rsidRPr="00780AA9">
                    <w:rPr>
                      <w:rFonts w:ascii="Eurostile" w:hAnsi="Eurostile"/>
                      <w:sz w:val="22"/>
                      <w:szCs w:val="22"/>
                      <w:lang w:val="en-US"/>
                    </w:rPr>
                    <w:t>CEA-AN/CIE/XXVIII/1/Add.1</w:t>
                  </w:r>
                </w:p>
                <w:p w:rsidR="00780AA9" w:rsidRPr="00323187" w:rsidRDefault="00780AA9" w:rsidP="00780AA9">
                  <w:pPr>
                    <w:rPr>
                      <w:rFonts w:ascii="Eurostile" w:hAnsi="Eurostile"/>
                      <w:sz w:val="22"/>
                      <w:szCs w:val="22"/>
                    </w:rPr>
                  </w:pPr>
                  <w:r w:rsidRPr="0070452B">
                    <w:rPr>
                      <w:rFonts w:ascii="Eurostile" w:hAnsi="Eurostile"/>
                      <w:sz w:val="22"/>
                      <w:szCs w:val="22"/>
                    </w:rPr>
                    <w:t>Janvier 2013</w:t>
                  </w:r>
                </w:p>
                <w:p w:rsidR="00780AA9" w:rsidRPr="00323187" w:rsidRDefault="00780AA9" w:rsidP="00780AA9">
                  <w:pPr>
                    <w:rPr>
                      <w:rFonts w:ascii="Eurostile" w:hAnsi="Eurostile"/>
                      <w:sz w:val="22"/>
                      <w:szCs w:val="22"/>
                    </w:rPr>
                  </w:pPr>
                </w:p>
                <w:p w:rsidR="00780AA9" w:rsidRPr="00323187" w:rsidRDefault="00780AA9" w:rsidP="00780AA9">
                  <w:pPr>
                    <w:rPr>
                      <w:rFonts w:ascii="Eurostile" w:hAnsi="Eurostile"/>
                      <w:sz w:val="22"/>
                      <w:szCs w:val="22"/>
                    </w:rPr>
                  </w:pPr>
                  <w:r w:rsidRPr="0070452B">
                    <w:rPr>
                      <w:rFonts w:ascii="Eurostile" w:hAnsi="Eurostile"/>
                      <w:sz w:val="22"/>
                      <w:szCs w:val="22"/>
                    </w:rPr>
                    <w:t>Original: FRANÇAIS</w:t>
                  </w:r>
                </w:p>
              </w:txbxContent>
            </v:textbox>
          </v:shape>
        </w:pict>
      </w:r>
      <w:r w:rsidR="00780AA9" w:rsidRPr="001707AF">
        <w:rPr>
          <w:rFonts w:ascii="Eurostile" w:hAnsi="Eurostile"/>
          <w:bCs/>
          <w:noProof/>
          <w:lang w:val="en-US" w:eastAsia="en-US"/>
        </w:rPr>
        <w:drawing>
          <wp:inline distT="0" distB="0" distL="0" distR="0">
            <wp:extent cx="838200" cy="685800"/>
            <wp:effectExtent l="19050" t="0" r="0" b="0"/>
            <wp:docPr id="2"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
                    <pic:cNvPicPr>
                      <a:picLocks noChangeAspect="1" noChangeArrowheads="1"/>
                    </pic:cNvPicPr>
                  </pic:nvPicPr>
                  <pic:blipFill>
                    <a:blip r:embed="rId5" cstate="print"/>
                    <a:srcRect/>
                    <a:stretch>
                      <a:fillRect/>
                    </a:stretch>
                  </pic:blipFill>
                  <pic:spPr bwMode="auto">
                    <a:xfrm>
                      <a:off x="0" y="0"/>
                      <a:ext cx="838200" cy="685800"/>
                    </a:xfrm>
                    <a:prstGeom prst="rect">
                      <a:avLst/>
                    </a:prstGeom>
                    <a:noFill/>
                    <a:ln w="9525">
                      <a:noFill/>
                      <a:miter lim="800000"/>
                      <a:headEnd/>
                      <a:tailEnd/>
                    </a:ln>
                  </pic:spPr>
                </pic:pic>
              </a:graphicData>
            </a:graphic>
          </wp:inline>
        </w:drawing>
      </w:r>
    </w:p>
    <w:p w:rsidR="00780AA9" w:rsidRPr="001707AF" w:rsidRDefault="00C375C7" w:rsidP="00780AA9">
      <w:pPr>
        <w:rPr>
          <w:rFonts w:ascii="Eurostile" w:hAnsi="Eurostile"/>
          <w:bCs/>
          <w:color w:val="31849B" w:themeColor="accent5" w:themeShade="BF"/>
        </w:rPr>
      </w:pPr>
      <w:r w:rsidRPr="00C375C7">
        <w:rPr>
          <w:rFonts w:ascii="Eurostile" w:hAnsi="Eurostile"/>
          <w:bCs/>
          <w:color w:val="31849B" w:themeColor="accent5" w:themeShade="BF"/>
        </w:rPr>
        <w:pict>
          <v:rect id="_x0000_s1032" style="position:absolute;margin-left:-7.2pt;margin-top:9.05pt;width:280.8pt;height:43.2pt;z-index:-251651072" o:allowincell="f" strokecolor="white"/>
        </w:pict>
      </w:r>
      <w:r w:rsidR="00780AA9" w:rsidRPr="001707AF">
        <w:rPr>
          <w:rFonts w:ascii="Eurostile" w:hAnsi="Eurostile"/>
          <w:bCs/>
          <w:color w:val="31849B" w:themeColor="accent5" w:themeShade="BF"/>
        </w:rPr>
        <w:t>Nations Unies</w:t>
      </w:r>
    </w:p>
    <w:p w:rsidR="00780AA9" w:rsidRPr="001707AF" w:rsidRDefault="00C375C7" w:rsidP="00780AA9">
      <w:pPr>
        <w:pStyle w:val="Titre6"/>
        <w:spacing w:before="0"/>
        <w:rPr>
          <w:rFonts w:ascii="Eurostile" w:hAnsi="Eurostile"/>
          <w:bCs/>
          <w:i w:val="0"/>
          <w:iCs w:val="0"/>
          <w:color w:val="31849B" w:themeColor="accent5" w:themeShade="BF"/>
        </w:rPr>
      </w:pPr>
      <w:r w:rsidRPr="00C375C7">
        <w:rPr>
          <w:rFonts w:ascii="Eurostile" w:hAnsi="Eurostile"/>
          <w:bCs/>
          <w:i w:val="0"/>
          <w:iCs w:val="0"/>
          <w:noProof/>
          <w:color w:val="31849B" w:themeColor="accent5" w:themeShade="BF"/>
        </w:rPr>
        <w:pict>
          <v:shape id="_x0000_s1033" type="#_x0000_t202" style="position:absolute;margin-left:7in;margin-top:11.5pt;width:6pt;height:11.15pt;z-index:251666432" strokecolor="white">
            <v:textbox style="mso-next-textbox:#_x0000_s1033">
              <w:txbxContent>
                <w:p w:rsidR="00780AA9" w:rsidRPr="00C545FD" w:rsidRDefault="00780AA9" w:rsidP="00780AA9"/>
              </w:txbxContent>
            </v:textbox>
          </v:shape>
        </w:pict>
      </w:r>
      <w:r w:rsidR="00780AA9" w:rsidRPr="001707AF">
        <w:rPr>
          <w:rFonts w:ascii="Eurostile" w:hAnsi="Eurostile"/>
          <w:bCs/>
          <w:i w:val="0"/>
          <w:iCs w:val="0"/>
          <w:noProof/>
          <w:color w:val="31849B" w:themeColor="accent5" w:themeShade="BF"/>
        </w:rPr>
        <w:t>Commission économique pour l’Afrique</w:t>
      </w:r>
    </w:p>
    <w:p w:rsidR="00780AA9" w:rsidRPr="001707AF" w:rsidRDefault="00780AA9" w:rsidP="00780AA9">
      <w:pPr>
        <w:rPr>
          <w:rFonts w:ascii="Eurostile" w:hAnsi="Eurostile"/>
          <w:b/>
          <w:color w:val="31849B" w:themeColor="accent5" w:themeShade="BF"/>
        </w:rPr>
      </w:pPr>
      <w:r w:rsidRPr="001707AF">
        <w:rPr>
          <w:rFonts w:ascii="Eurostile" w:hAnsi="Eurostile"/>
          <w:b/>
          <w:color w:val="31849B" w:themeColor="accent5" w:themeShade="BF"/>
        </w:rPr>
        <w:t xml:space="preserve">Bureau pour l’Afrique du Nord </w:t>
      </w:r>
    </w:p>
    <w:p w:rsidR="00780AA9" w:rsidRPr="001707AF" w:rsidRDefault="00C375C7" w:rsidP="00780AA9">
      <w:pPr>
        <w:rPr>
          <w:rFonts w:ascii="Eurostile" w:hAnsi="Eurostile"/>
          <w:bCs/>
        </w:rPr>
      </w:pPr>
      <w:r w:rsidRPr="00C375C7">
        <w:rPr>
          <w:rFonts w:ascii="Eurostile" w:hAnsi="Eurostile"/>
          <w:bCs/>
          <w:color w:val="31849B" w:themeColor="accent5" w:themeShade="BF"/>
        </w:rPr>
        <w:pict>
          <v:line id="_x0000_s1034" style="position:absolute;z-index:251667456" from="0,7.2pt" to="488.5pt,7.2pt" strokecolor="#31849b [2408]"/>
        </w:pict>
      </w:r>
    </w:p>
    <w:p w:rsidR="00780AA9" w:rsidRPr="001707AF" w:rsidRDefault="00780AA9" w:rsidP="00780AA9">
      <w:pPr>
        <w:rPr>
          <w:rFonts w:ascii="Eurostile" w:hAnsi="Eurostile"/>
          <w:bCs/>
          <w:sz w:val="22"/>
          <w:szCs w:val="22"/>
        </w:rPr>
      </w:pPr>
      <w:r w:rsidRPr="001707AF">
        <w:rPr>
          <w:rFonts w:ascii="Eurostile" w:hAnsi="Eurostile"/>
          <w:bCs/>
          <w:sz w:val="22"/>
          <w:szCs w:val="22"/>
        </w:rPr>
        <w:t xml:space="preserve">Vingt-huitième session du Comité intergouvernemental </w:t>
      </w:r>
    </w:p>
    <w:p w:rsidR="00780AA9" w:rsidRPr="001707AF" w:rsidRDefault="00780AA9" w:rsidP="00780AA9">
      <w:pPr>
        <w:rPr>
          <w:rFonts w:ascii="Eurostile" w:hAnsi="Eurostile"/>
          <w:bCs/>
          <w:sz w:val="22"/>
          <w:szCs w:val="22"/>
        </w:rPr>
      </w:pPr>
      <w:r w:rsidRPr="001707AF">
        <w:rPr>
          <w:rFonts w:ascii="Eurostile" w:hAnsi="Eurostile"/>
          <w:bCs/>
          <w:sz w:val="22"/>
          <w:szCs w:val="22"/>
        </w:rPr>
        <w:t xml:space="preserve">   </w:t>
      </w:r>
      <w:proofErr w:type="gramStart"/>
      <w:r w:rsidRPr="001707AF">
        <w:rPr>
          <w:rFonts w:ascii="Eurostile" w:hAnsi="Eurostile"/>
          <w:bCs/>
          <w:sz w:val="22"/>
          <w:szCs w:val="22"/>
        </w:rPr>
        <w:t>d’experts</w:t>
      </w:r>
      <w:proofErr w:type="gramEnd"/>
      <w:r w:rsidRPr="001707AF">
        <w:rPr>
          <w:rFonts w:ascii="Eurostile" w:hAnsi="Eurostile"/>
          <w:bCs/>
          <w:sz w:val="22"/>
          <w:szCs w:val="22"/>
        </w:rPr>
        <w:t xml:space="preserve"> (CIE)</w:t>
      </w:r>
    </w:p>
    <w:p w:rsidR="00780AA9" w:rsidRPr="001707AF" w:rsidRDefault="00780AA9" w:rsidP="00780AA9">
      <w:pPr>
        <w:rPr>
          <w:rFonts w:ascii="Eurostile" w:hAnsi="Eurostile"/>
          <w:bCs/>
          <w:sz w:val="22"/>
          <w:szCs w:val="22"/>
        </w:rPr>
      </w:pPr>
    </w:p>
    <w:p w:rsidR="00780AA9" w:rsidRPr="001707AF" w:rsidRDefault="00780AA9" w:rsidP="00780AA9">
      <w:pPr>
        <w:rPr>
          <w:rFonts w:ascii="Eurostile" w:hAnsi="Eurostile"/>
          <w:bCs/>
          <w:sz w:val="22"/>
          <w:szCs w:val="22"/>
        </w:rPr>
      </w:pPr>
      <w:r w:rsidRPr="001707AF">
        <w:rPr>
          <w:rFonts w:ascii="Eurostile" w:hAnsi="Eurostile"/>
          <w:bCs/>
          <w:sz w:val="22"/>
          <w:szCs w:val="22"/>
        </w:rPr>
        <w:t>Rabat (Maroc)</w:t>
      </w:r>
    </w:p>
    <w:p w:rsidR="00780AA9" w:rsidRPr="001707AF" w:rsidRDefault="00780AA9" w:rsidP="00780AA9">
      <w:pPr>
        <w:rPr>
          <w:rFonts w:ascii="Eurostile" w:hAnsi="Eurostile"/>
          <w:bCs/>
          <w:sz w:val="22"/>
          <w:szCs w:val="22"/>
        </w:rPr>
      </w:pPr>
      <w:r w:rsidRPr="001707AF">
        <w:rPr>
          <w:rFonts w:ascii="Eurostile" w:hAnsi="Eurostile"/>
          <w:bCs/>
          <w:sz w:val="22"/>
          <w:szCs w:val="22"/>
        </w:rPr>
        <w:t>26 février - 1</w:t>
      </w:r>
      <w:r w:rsidRPr="001707AF">
        <w:rPr>
          <w:rFonts w:ascii="Eurostile" w:hAnsi="Eurostile"/>
          <w:bCs/>
          <w:sz w:val="22"/>
          <w:szCs w:val="22"/>
          <w:vertAlign w:val="superscript"/>
        </w:rPr>
        <w:t>er</w:t>
      </w:r>
      <w:r w:rsidRPr="001707AF">
        <w:rPr>
          <w:rFonts w:ascii="Eurostile" w:hAnsi="Eurostile"/>
          <w:bCs/>
          <w:sz w:val="22"/>
          <w:szCs w:val="22"/>
        </w:rPr>
        <w:t xml:space="preserve"> mars 2013</w:t>
      </w:r>
    </w:p>
    <w:p w:rsidR="00780AA9" w:rsidRPr="001707AF" w:rsidRDefault="00780AA9" w:rsidP="00780AA9">
      <w:pPr>
        <w:rPr>
          <w:rFonts w:ascii="Eurostile" w:hAnsi="Eurostile"/>
          <w:bCs/>
          <w:sz w:val="22"/>
          <w:szCs w:val="22"/>
        </w:rPr>
      </w:pPr>
    </w:p>
    <w:p w:rsidR="00780AA9" w:rsidRPr="001707AF" w:rsidRDefault="00780AA9" w:rsidP="00780AA9">
      <w:pPr>
        <w:pStyle w:val="Sous-titre"/>
        <w:ind w:left="2640" w:hanging="1200"/>
        <w:rPr>
          <w:rFonts w:ascii="Eurostile" w:hAnsi="Eurostile" w:cs="Times New Roman"/>
          <w:sz w:val="20"/>
          <w:szCs w:val="20"/>
          <w:lang w:val="fr-FR"/>
        </w:rPr>
      </w:pPr>
    </w:p>
    <w:p w:rsidR="00780AA9" w:rsidRPr="001707AF" w:rsidRDefault="00780AA9" w:rsidP="00780AA9">
      <w:pPr>
        <w:pStyle w:val="Sous-titre"/>
        <w:ind w:left="2640" w:hanging="1200"/>
        <w:rPr>
          <w:rFonts w:ascii="Eurostile" w:hAnsi="Eurostile" w:cs="Times New Roman"/>
          <w:sz w:val="20"/>
          <w:szCs w:val="20"/>
          <w:lang w:val="fr-FR"/>
        </w:rPr>
      </w:pPr>
    </w:p>
    <w:p w:rsidR="00780AA9" w:rsidRPr="001707AF" w:rsidRDefault="00780AA9" w:rsidP="00780AA9">
      <w:pPr>
        <w:pStyle w:val="Sous-titre"/>
        <w:ind w:left="2640" w:hanging="1200"/>
        <w:rPr>
          <w:rFonts w:ascii="Eurostile" w:hAnsi="Eurostile" w:cs="Times New Roman"/>
          <w:sz w:val="20"/>
          <w:szCs w:val="20"/>
          <w:lang w:val="fr-FR"/>
        </w:rPr>
      </w:pPr>
    </w:p>
    <w:p w:rsidR="00780AA9" w:rsidRPr="001707AF" w:rsidRDefault="00780AA9" w:rsidP="00780AA9">
      <w:pPr>
        <w:pStyle w:val="Sous-titre"/>
        <w:ind w:left="2640" w:hanging="1200"/>
        <w:rPr>
          <w:rFonts w:ascii="Eurostile" w:hAnsi="Eurostile" w:cs="Times New Roman"/>
          <w:sz w:val="20"/>
          <w:szCs w:val="20"/>
          <w:lang w:val="fr-FR"/>
        </w:rPr>
      </w:pPr>
    </w:p>
    <w:p w:rsidR="00780AA9" w:rsidRPr="001707AF" w:rsidRDefault="00780AA9" w:rsidP="00780AA9">
      <w:pPr>
        <w:pStyle w:val="Sous-titre"/>
        <w:ind w:right="-426"/>
        <w:jc w:val="center"/>
        <w:rPr>
          <w:rFonts w:ascii="Eurostile" w:hAnsi="Eurostile"/>
          <w:i/>
          <w:color w:val="31849B" w:themeColor="accent5" w:themeShade="BF"/>
          <w:lang w:val="fr-FR"/>
        </w:rPr>
      </w:pPr>
      <w:r w:rsidRPr="001707AF">
        <w:rPr>
          <w:rFonts w:ascii="Eurostile" w:hAnsi="Eurostile" w:cs="Times New Roman"/>
          <w:i/>
          <w:iCs/>
          <w:color w:val="31849B" w:themeColor="accent5" w:themeShade="BF"/>
          <w:sz w:val="21"/>
          <w:szCs w:val="21"/>
          <w:lang w:val="fr-FR"/>
        </w:rPr>
        <w:t>Thème:</w:t>
      </w:r>
      <w:r w:rsidRPr="001707AF">
        <w:rPr>
          <w:rFonts w:ascii="Eurostile" w:hAnsi="Eurostile" w:cs="Times New Roman"/>
          <w:color w:val="31849B" w:themeColor="accent5" w:themeShade="BF"/>
          <w:sz w:val="21"/>
          <w:szCs w:val="21"/>
          <w:lang w:val="fr-FR"/>
        </w:rPr>
        <w:t xml:space="preserve"> "</w:t>
      </w:r>
      <w:r w:rsidRPr="001707AF">
        <w:rPr>
          <w:rFonts w:ascii="Eurostile" w:hAnsi="Eurostile"/>
          <w:i/>
          <w:color w:val="31849B" w:themeColor="accent5" w:themeShade="BF"/>
          <w:lang w:val="fr-FR"/>
        </w:rPr>
        <w:t>Promo</w:t>
      </w:r>
      <w:r w:rsidRPr="001707AF">
        <w:rPr>
          <w:rFonts w:ascii="Eurostile" w:hAnsi="Eurostile"/>
          <w:bCs w:val="0"/>
          <w:i/>
          <w:color w:val="31849B" w:themeColor="accent5" w:themeShade="BF"/>
          <w:lang w:val="fr-FR"/>
        </w:rPr>
        <w:t>uvoir</w:t>
      </w:r>
      <w:r w:rsidRPr="001707AF">
        <w:rPr>
          <w:rFonts w:ascii="Eurostile" w:hAnsi="Eurostile"/>
          <w:i/>
          <w:color w:val="31849B" w:themeColor="accent5" w:themeShade="BF"/>
          <w:lang w:val="fr-FR"/>
        </w:rPr>
        <w:t xml:space="preserve"> la diversification et la sophistication  pour  la </w:t>
      </w:r>
    </w:p>
    <w:p w:rsidR="00780AA9" w:rsidRPr="001707AF" w:rsidRDefault="00780AA9" w:rsidP="00780AA9">
      <w:pPr>
        <w:pStyle w:val="Sous-titre"/>
        <w:ind w:right="-426"/>
        <w:jc w:val="center"/>
        <w:rPr>
          <w:rFonts w:ascii="Eurostile" w:hAnsi="Eurostile" w:cs="Times New Roman"/>
          <w:color w:val="31849B" w:themeColor="accent5" w:themeShade="BF"/>
          <w:sz w:val="21"/>
          <w:szCs w:val="21"/>
          <w:lang w:val="fr-FR"/>
        </w:rPr>
      </w:pPr>
      <w:proofErr w:type="gramStart"/>
      <w:r w:rsidRPr="001707AF">
        <w:rPr>
          <w:rFonts w:ascii="Eurostile" w:hAnsi="Eurostile"/>
          <w:i/>
          <w:color w:val="31849B" w:themeColor="accent5" w:themeShade="BF"/>
          <w:lang w:val="fr-FR"/>
        </w:rPr>
        <w:t>transformation</w:t>
      </w:r>
      <w:proofErr w:type="gramEnd"/>
      <w:r w:rsidRPr="001707AF">
        <w:rPr>
          <w:rFonts w:ascii="Eurostile" w:hAnsi="Eurostile"/>
          <w:i/>
          <w:color w:val="31849B" w:themeColor="accent5" w:themeShade="BF"/>
          <w:lang w:val="fr-FR"/>
        </w:rPr>
        <w:t xml:space="preserve"> structurelle des économies </w:t>
      </w:r>
      <w:r w:rsidRPr="001707AF">
        <w:rPr>
          <w:rFonts w:ascii="Eurostile" w:hAnsi="Eurostile"/>
          <w:bCs w:val="0"/>
          <w:i/>
          <w:color w:val="31849B" w:themeColor="accent5" w:themeShade="BF"/>
          <w:lang w:val="fr-FR"/>
        </w:rPr>
        <w:t xml:space="preserve">en </w:t>
      </w:r>
      <w:r w:rsidRPr="001707AF">
        <w:rPr>
          <w:rFonts w:ascii="Eurostile" w:hAnsi="Eurostile"/>
          <w:i/>
          <w:color w:val="31849B" w:themeColor="accent5" w:themeShade="BF"/>
          <w:lang w:val="fr-FR"/>
        </w:rPr>
        <w:t xml:space="preserve">Afrique du Nord </w:t>
      </w:r>
      <w:r w:rsidRPr="001707AF">
        <w:rPr>
          <w:rFonts w:ascii="Eurostile" w:hAnsi="Eurostile" w:cs="Times New Roman"/>
          <w:color w:val="31849B" w:themeColor="accent5" w:themeShade="BF"/>
          <w:sz w:val="21"/>
          <w:szCs w:val="21"/>
          <w:lang w:val="fr-FR"/>
        </w:rPr>
        <w:t>"</w:t>
      </w:r>
    </w:p>
    <w:p w:rsidR="00780AA9" w:rsidRPr="001707AF" w:rsidRDefault="00780AA9" w:rsidP="00780AA9">
      <w:pPr>
        <w:rPr>
          <w:rFonts w:ascii="Eurostile" w:hAnsi="Eurostile"/>
        </w:rPr>
      </w:pPr>
      <w:r w:rsidRPr="001707AF">
        <w:rPr>
          <w:rFonts w:ascii="Eurostile" w:hAnsi="Eurostile"/>
          <w:spacing w:val="-3"/>
          <w:sz w:val="22"/>
          <w:szCs w:val="22"/>
        </w:rPr>
        <w:tab/>
      </w:r>
    </w:p>
    <w:p w:rsidR="00780AA9" w:rsidRDefault="00780AA9" w:rsidP="00780AA9">
      <w:pPr>
        <w:jc w:val="both"/>
        <w:rPr>
          <w:rFonts w:ascii="Eurostile" w:hAnsi="Eurostile"/>
        </w:rPr>
      </w:pPr>
    </w:p>
    <w:p w:rsidR="00780AA9" w:rsidRPr="001707AF" w:rsidRDefault="00780AA9" w:rsidP="00780AA9">
      <w:pPr>
        <w:jc w:val="both"/>
        <w:rPr>
          <w:rFonts w:ascii="Eurostile" w:hAnsi="Eurostile"/>
        </w:rPr>
      </w:pPr>
    </w:p>
    <w:p w:rsidR="00780AA9" w:rsidRPr="002646A7" w:rsidRDefault="00780AA9" w:rsidP="00780AA9">
      <w:pPr>
        <w:jc w:val="center"/>
        <w:rPr>
          <w:rFonts w:ascii="Eurostile" w:hAnsi="Eurostile" w:cs="Courier New"/>
          <w:b/>
          <w:bCs/>
          <w:iCs/>
          <w:snapToGrid w:val="0"/>
          <w:color w:val="31849B" w:themeColor="accent5" w:themeShade="BF"/>
          <w:sz w:val="32"/>
          <w:szCs w:val="32"/>
          <w:lang w:eastAsia="en-US"/>
        </w:rPr>
      </w:pPr>
      <w:r w:rsidRPr="002646A7">
        <w:rPr>
          <w:rFonts w:ascii="Eurostile" w:hAnsi="Eurostile" w:cs="Courier New"/>
          <w:b/>
          <w:bCs/>
          <w:iCs/>
          <w:snapToGrid w:val="0"/>
          <w:color w:val="31849B" w:themeColor="accent5" w:themeShade="BF"/>
          <w:sz w:val="32"/>
          <w:szCs w:val="32"/>
          <w:lang w:eastAsia="en-US"/>
        </w:rPr>
        <w:t>Ordre du jour provisoire annoté</w:t>
      </w:r>
    </w:p>
    <w:p w:rsidR="00780AA9" w:rsidRDefault="00780AA9" w:rsidP="00780AA9">
      <w:pPr>
        <w:jc w:val="center"/>
        <w:rPr>
          <w:rFonts w:ascii="Eurostile" w:hAnsi="Eurostile" w:cs="Courier New"/>
          <w:b/>
          <w:bCs/>
          <w:iCs/>
          <w:snapToGrid w:val="0"/>
          <w:color w:val="31849B" w:themeColor="accent5" w:themeShade="BF"/>
          <w:sz w:val="36"/>
          <w:szCs w:val="36"/>
          <w:lang w:eastAsia="en-US"/>
        </w:rPr>
      </w:pPr>
    </w:p>
    <w:p w:rsidR="00780AA9" w:rsidRPr="001707AF" w:rsidRDefault="00780AA9" w:rsidP="00780AA9">
      <w:pPr>
        <w:jc w:val="center"/>
        <w:rPr>
          <w:rFonts w:ascii="Eurostile" w:hAnsi="Eurostile" w:cs="Courier New"/>
          <w:b/>
          <w:bCs/>
          <w:iCs/>
          <w:snapToGrid w:val="0"/>
          <w:color w:val="31849B" w:themeColor="accent5" w:themeShade="BF"/>
          <w:sz w:val="36"/>
          <w:szCs w:val="36"/>
          <w:lang w:eastAsia="en-US"/>
        </w:rPr>
      </w:pPr>
    </w:p>
    <w:p w:rsidR="00780AA9" w:rsidRPr="001707AF" w:rsidRDefault="00780AA9" w:rsidP="00780AA9">
      <w:pPr>
        <w:pStyle w:val="Pieddepage"/>
        <w:tabs>
          <w:tab w:val="clear" w:pos="4320"/>
          <w:tab w:val="clear" w:pos="8640"/>
          <w:tab w:val="left" w:pos="567"/>
          <w:tab w:val="left" w:pos="4820"/>
        </w:tabs>
        <w:ind w:left="144" w:right="144"/>
        <w:jc w:val="center"/>
        <w:rPr>
          <w:rFonts w:ascii="Eurostile" w:hAnsi="Eurostile"/>
          <w:b/>
          <w:sz w:val="21"/>
          <w:szCs w:val="21"/>
          <w:lang w:val="fr-FR"/>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color w:val="31849B" w:themeColor="accent5" w:themeShade="BF"/>
          <w:sz w:val="22"/>
          <w:szCs w:val="22"/>
        </w:rPr>
      </w:pPr>
      <w:r w:rsidRPr="001707AF">
        <w:rPr>
          <w:rFonts w:ascii="Eurostile" w:hAnsi="Eurostile"/>
          <w:b/>
          <w:bCs/>
          <w:color w:val="31849B" w:themeColor="accent5" w:themeShade="BF"/>
          <w:sz w:val="22"/>
          <w:szCs w:val="22"/>
          <w:lang w:val="fr-FR"/>
        </w:rPr>
        <w:t>Séance d’ouverture</w:t>
      </w:r>
    </w:p>
    <w:p w:rsidR="00780AA9" w:rsidRPr="001707AF" w:rsidRDefault="00780AA9" w:rsidP="00780AA9">
      <w:pPr>
        <w:pStyle w:val="NormalWeb"/>
        <w:spacing w:before="0" w:beforeAutospacing="0" w:after="0" w:afterAutospacing="0"/>
        <w:ind w:right="144"/>
        <w:jc w:val="both"/>
        <w:rPr>
          <w:rFonts w:ascii="Eurostile" w:hAnsi="Eurostile"/>
          <w:sz w:val="22"/>
          <w:szCs w:val="22"/>
          <w:lang w:val="fr-FR"/>
        </w:rPr>
      </w:pPr>
      <w:r w:rsidRPr="001707AF">
        <w:rPr>
          <w:rFonts w:ascii="Eurostile" w:hAnsi="Eurostile"/>
          <w:sz w:val="22"/>
          <w:szCs w:val="22"/>
          <w:lang w:val="fr-FR"/>
        </w:rPr>
        <w:t>La 28</w:t>
      </w:r>
      <w:r w:rsidRPr="001707AF">
        <w:rPr>
          <w:rFonts w:ascii="Eurostile" w:hAnsi="Eurostile"/>
          <w:sz w:val="22"/>
          <w:szCs w:val="22"/>
          <w:vertAlign w:val="superscript"/>
          <w:lang w:val="fr-FR"/>
        </w:rPr>
        <w:t>ème</w:t>
      </w:r>
      <w:r w:rsidRPr="001707AF">
        <w:rPr>
          <w:rFonts w:ascii="Eurostile" w:hAnsi="Eurostile"/>
          <w:sz w:val="22"/>
          <w:szCs w:val="22"/>
          <w:lang w:val="fr-FR"/>
        </w:rPr>
        <w:t xml:space="preserve"> réunion du Comité intergouvernemental d’experts (CIE) s’ouvrira le mardi 26 février 2013 à 9h00 à l’hôtel Tour Hassan à Rabat. Plusieurs allocutions seront prononcées à cette occasion.</w:t>
      </w:r>
    </w:p>
    <w:p w:rsidR="00780AA9" w:rsidRPr="001707AF" w:rsidRDefault="00780AA9" w:rsidP="00780AA9">
      <w:pPr>
        <w:pStyle w:val="NormalWeb"/>
        <w:spacing w:before="0" w:beforeAutospacing="0" w:after="0" w:afterAutospacing="0"/>
        <w:ind w:left="144" w:right="144"/>
        <w:jc w:val="both"/>
        <w:rPr>
          <w:rFonts w:ascii="Eurostile" w:hAnsi="Eurostile"/>
          <w:spacing w:val="-2"/>
          <w:sz w:val="22"/>
          <w:szCs w:val="22"/>
          <w:lang w:val="fr-FR"/>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Election du bureau</w:t>
      </w:r>
    </w:p>
    <w:p w:rsidR="00780AA9" w:rsidRPr="001707AF" w:rsidRDefault="00780AA9" w:rsidP="00780AA9">
      <w:pPr>
        <w:pStyle w:val="Corpsdetexte"/>
        <w:ind w:right="144"/>
        <w:rPr>
          <w:rFonts w:ascii="Eurostile" w:hAnsi="Eurostile"/>
          <w:bCs/>
          <w:sz w:val="22"/>
          <w:szCs w:val="22"/>
          <w:lang w:val="fr-FR"/>
        </w:rPr>
      </w:pPr>
      <w:r w:rsidRPr="001707AF">
        <w:rPr>
          <w:rFonts w:ascii="Eurostile" w:hAnsi="Eurostile"/>
          <w:sz w:val="22"/>
          <w:szCs w:val="22"/>
          <w:lang w:val="fr-FR"/>
        </w:rPr>
        <w:t>Le Président sortant invitera le Comité à élire le nouveau bureau composé d’un Président, d’un Vice-président et d’un Rapporteur</w:t>
      </w:r>
    </w:p>
    <w:p w:rsidR="00780AA9" w:rsidRPr="001707AF" w:rsidRDefault="00780AA9" w:rsidP="00780AA9">
      <w:pPr>
        <w:pStyle w:val="NormalWeb"/>
        <w:spacing w:before="0" w:beforeAutospacing="0" w:after="0" w:afterAutospacing="0"/>
        <w:ind w:left="480" w:right="144"/>
        <w:jc w:val="both"/>
        <w:rPr>
          <w:rFonts w:ascii="Eurostile" w:hAnsi="Eurostile"/>
          <w:b/>
          <w:bCs/>
          <w:sz w:val="22"/>
          <w:szCs w:val="22"/>
          <w:lang w:val="fr-FR"/>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Adoption de l’ordre du jour et du programme de travail</w:t>
      </w:r>
    </w:p>
    <w:p w:rsidR="00780AA9" w:rsidRPr="001707AF" w:rsidRDefault="00780AA9" w:rsidP="00780AA9">
      <w:pPr>
        <w:autoSpaceDE w:val="0"/>
        <w:autoSpaceDN w:val="0"/>
        <w:adjustRightInd w:val="0"/>
        <w:jc w:val="both"/>
        <w:rPr>
          <w:rFonts w:ascii="Eurostile" w:hAnsi="Eurostile"/>
          <w:sz w:val="22"/>
          <w:szCs w:val="22"/>
        </w:rPr>
      </w:pPr>
      <w:r w:rsidRPr="001707AF">
        <w:rPr>
          <w:rFonts w:ascii="Eurostile" w:hAnsi="Eurostile"/>
          <w:sz w:val="22"/>
          <w:szCs w:val="22"/>
        </w:rPr>
        <w:t>Le Comité sera invité à adopter l'ordre du jour et le programme des travaux de la réunion.</w:t>
      </w:r>
    </w:p>
    <w:p w:rsidR="00780AA9" w:rsidRPr="001707AF" w:rsidRDefault="00780AA9" w:rsidP="00780AA9">
      <w:pPr>
        <w:pStyle w:val="Corpsdetexte"/>
        <w:ind w:left="720" w:right="144" w:hanging="720"/>
        <w:rPr>
          <w:rFonts w:ascii="Eurostile" w:hAnsi="Eurostile"/>
          <w:bCs/>
          <w:sz w:val="22"/>
          <w:szCs w:val="22"/>
          <w:lang w:val="fr-FR"/>
        </w:rPr>
      </w:pPr>
    </w:p>
    <w:p w:rsidR="00780AA9" w:rsidRPr="001707AF" w:rsidRDefault="00780AA9" w:rsidP="00780AA9">
      <w:pPr>
        <w:pStyle w:val="Corpsdetexte"/>
        <w:ind w:left="720" w:right="144" w:hanging="720"/>
        <w:rPr>
          <w:rFonts w:ascii="Eurostile" w:hAnsi="Eurostile"/>
          <w:bCs/>
          <w:sz w:val="22"/>
          <w:szCs w:val="22"/>
          <w:lang w:val="fr-FR"/>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Rapport sur les conditions économiques et sociales en Afrique du Nord, 2011-2012</w:t>
      </w:r>
    </w:p>
    <w:p w:rsidR="00780AA9" w:rsidRPr="001707AF" w:rsidRDefault="00780AA9" w:rsidP="00780AA9">
      <w:pPr>
        <w:autoSpaceDE w:val="0"/>
        <w:autoSpaceDN w:val="0"/>
        <w:adjustRightInd w:val="0"/>
        <w:spacing w:line="240" w:lineRule="atLeast"/>
        <w:jc w:val="both"/>
        <w:rPr>
          <w:rFonts w:ascii="Eurostile" w:hAnsi="Eurostile"/>
          <w:sz w:val="22"/>
          <w:szCs w:val="22"/>
        </w:rPr>
      </w:pPr>
      <w:r w:rsidRPr="001707AF">
        <w:rPr>
          <w:rFonts w:ascii="Eurostile" w:hAnsi="Eurostile"/>
          <w:sz w:val="22"/>
          <w:szCs w:val="22"/>
        </w:rPr>
        <w:t xml:space="preserve">Le </w:t>
      </w:r>
      <w:r>
        <w:rPr>
          <w:rFonts w:ascii="Eurostile" w:hAnsi="Eurostile"/>
          <w:color w:val="000000"/>
          <w:sz w:val="22"/>
          <w:szCs w:val="22"/>
        </w:rPr>
        <w:t>Bureau pour l’Afrique du Nord de la</w:t>
      </w:r>
      <w:r w:rsidRPr="001707AF">
        <w:rPr>
          <w:rFonts w:ascii="Eurostile" w:hAnsi="Eurostile"/>
          <w:color w:val="000000"/>
          <w:sz w:val="22"/>
          <w:szCs w:val="22"/>
        </w:rPr>
        <w:t xml:space="preserve"> </w:t>
      </w:r>
      <w:r>
        <w:rPr>
          <w:rFonts w:ascii="Eurostile" w:hAnsi="Eurostile"/>
          <w:color w:val="000000"/>
          <w:sz w:val="22"/>
          <w:szCs w:val="22"/>
        </w:rPr>
        <w:t>Commission économique des Nations Unies pour l’Afrique (CEA-AN)</w:t>
      </w:r>
      <w:r w:rsidRPr="001707AF">
        <w:rPr>
          <w:rFonts w:ascii="Eurostile" w:hAnsi="Eurostile"/>
          <w:color w:val="000000"/>
          <w:sz w:val="22"/>
          <w:szCs w:val="22"/>
        </w:rPr>
        <w:t xml:space="preserve"> </w:t>
      </w:r>
      <w:r w:rsidRPr="001707AF">
        <w:rPr>
          <w:rFonts w:ascii="Eurostile" w:hAnsi="Eurostile"/>
          <w:sz w:val="22"/>
          <w:szCs w:val="22"/>
        </w:rPr>
        <w:t>présentera au CIE, pour commentaires et approbation, le rapport sur l’évolution des conditions économiques et sociales qui ont prévalu en Afrique du Nord en 2012 et les perspectives pour 2013. Un accent particulier sera mis sur la question de la transformation structurelle des économies et les capacités en matière de statistiques. Des recommandations seront formulées sur tous les sujets traités par le rapport.</w:t>
      </w:r>
    </w:p>
    <w:p w:rsidR="00780AA9" w:rsidRPr="001707AF" w:rsidRDefault="00780AA9" w:rsidP="00780AA9">
      <w:pPr>
        <w:autoSpaceDE w:val="0"/>
        <w:autoSpaceDN w:val="0"/>
        <w:adjustRightInd w:val="0"/>
        <w:spacing w:line="240" w:lineRule="atLeast"/>
        <w:rPr>
          <w:rFonts w:ascii="Eurostile" w:hAnsi="Eurostile"/>
          <w:sz w:val="22"/>
          <w:szCs w:val="22"/>
        </w:rPr>
      </w:pPr>
    </w:p>
    <w:p w:rsidR="00780AA9" w:rsidRDefault="00780AA9" w:rsidP="002646A7">
      <w:pPr>
        <w:pStyle w:val="Corpsdetexte"/>
        <w:numPr>
          <w:ilvl w:val="0"/>
          <w:numId w:val="2"/>
        </w:numPr>
        <w:tabs>
          <w:tab w:val="clear" w:pos="567"/>
          <w:tab w:val="left" w:pos="480"/>
        </w:tabs>
        <w:ind w:left="480" w:right="144" w:hanging="480"/>
        <w:rPr>
          <w:rFonts w:ascii="Eurostile" w:hAnsi="Eurostile"/>
          <w:b/>
          <w:bCs/>
          <w:sz w:val="22"/>
          <w:szCs w:val="22"/>
          <w:lang w:val="fr-FR"/>
        </w:rPr>
        <w:sectPr w:rsidR="00780AA9" w:rsidSect="001707AF">
          <w:pgSz w:w="11906" w:h="16838"/>
          <w:pgMar w:top="426" w:right="1417" w:bottom="1417" w:left="1417" w:header="708" w:footer="708" w:gutter="0"/>
          <w:cols w:space="708"/>
          <w:docGrid w:linePitch="360"/>
        </w:sect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lastRenderedPageBreak/>
        <w:t xml:space="preserve">Session spéciale : « Promouvoir la diversification et la sophistication pour la transformation structurelle des économies en Afrique du Nord »  </w:t>
      </w:r>
    </w:p>
    <w:p w:rsidR="00780AA9" w:rsidRPr="001707AF" w:rsidRDefault="00780AA9" w:rsidP="00780AA9">
      <w:pPr>
        <w:pStyle w:val="Corpsdetexte"/>
        <w:tabs>
          <w:tab w:val="clear" w:pos="567"/>
          <w:tab w:val="left" w:pos="426"/>
          <w:tab w:val="left" w:pos="480"/>
        </w:tabs>
        <w:ind w:right="144"/>
        <w:rPr>
          <w:rFonts w:ascii="Eurostile" w:hAnsi="Eurostile"/>
          <w:sz w:val="22"/>
          <w:szCs w:val="22"/>
          <w:lang w:val="fr-FR"/>
        </w:rPr>
      </w:pPr>
      <w:r w:rsidRPr="001707AF">
        <w:rPr>
          <w:rFonts w:ascii="Eurostile" w:hAnsi="Eurostile"/>
          <w:sz w:val="22"/>
          <w:szCs w:val="22"/>
          <w:lang w:val="fr-FR"/>
        </w:rPr>
        <w:t>La réunion du CIE examinera la problématique de la diversification et de la sophistication</w:t>
      </w:r>
      <w:r w:rsidRPr="001707AF">
        <w:rPr>
          <w:rFonts w:ascii="Eurostile" w:hAnsi="Eurostile"/>
          <w:bCs/>
          <w:sz w:val="22"/>
          <w:szCs w:val="22"/>
          <w:lang w:val="fr-FR"/>
        </w:rPr>
        <w:t xml:space="preserve">  des économies en Afrique du Nord</w:t>
      </w:r>
      <w:r w:rsidRPr="001707AF">
        <w:rPr>
          <w:rFonts w:ascii="Eurostile" w:hAnsi="Eurostile"/>
          <w:bCs/>
          <w:i/>
          <w:sz w:val="22"/>
          <w:szCs w:val="22"/>
          <w:lang w:val="fr-FR"/>
        </w:rPr>
        <w:t xml:space="preserve">. </w:t>
      </w:r>
      <w:r w:rsidRPr="001707AF">
        <w:rPr>
          <w:rFonts w:ascii="Eurostile" w:hAnsi="Eurostile"/>
          <w:sz w:val="22"/>
          <w:szCs w:val="22"/>
          <w:lang w:val="fr-FR"/>
        </w:rPr>
        <w:t xml:space="preserve">Le choix de ce thème découle du constat que le passage des pays nord africains au rang d’économies émergentes passe par une transformation importante de leurs économies, et pose la question des processus devant guider ces changements structurels. Les résultats insuffisants de la croissance en Afrique du Nord et la relative lenteur du développement économique et social qui en résulte ont été en partie attribués au niveau de diversification de ces économies et au faible degré de sophistication des systèmes productifs. Les expériences aussi bien des pays développés que des pays émergents, notamment asiatiques, montrent que le passage de pays à bas revenu à pays à revenu intermédiaire, puis à économie émergente passe par une forte diversification de l’économie, et soulignent le rôle de l’Etat dans ce processus, par la stimulation d’évolutions fortes que le marché ne peut induire automatiquement par les seules allocations des ressources, en raison de ses imperfections et défaillances, particulièrement dans les pays en développement. Une réunion ad hoc d’experts offrira aussi l’opportunité d’approfondir la réflexion sur les différents contours de cette problématique, notamment l’état actuel de la diversification et de la sophistication dans la sous-région, leurs déterminants, les liens entre sophistication, productivité et croissance, le rôle que peut jouer l’intégration régionale en la matière, celui des Etats et des autres acteurs dont le secteur privé et le monde académique. </w:t>
      </w:r>
    </w:p>
    <w:p w:rsidR="00780AA9" w:rsidRPr="001707AF" w:rsidRDefault="00780AA9" w:rsidP="00780AA9">
      <w:pPr>
        <w:pStyle w:val="Corpsdetexte"/>
        <w:ind w:left="720" w:right="144" w:hanging="720"/>
        <w:rPr>
          <w:rFonts w:ascii="Eurostile" w:hAnsi="Eurostile"/>
          <w:b/>
          <w:color w:val="000000"/>
          <w:sz w:val="22"/>
          <w:szCs w:val="22"/>
          <w:lang w:val="fr-FR" w:bidi="ar-MA"/>
        </w:rPr>
      </w:pPr>
    </w:p>
    <w:p w:rsidR="00780AA9" w:rsidRPr="001707AF" w:rsidRDefault="00780AA9" w:rsidP="00780AA9">
      <w:pPr>
        <w:pStyle w:val="Corpsdetexte"/>
        <w:ind w:left="720" w:right="144" w:hanging="720"/>
        <w:rPr>
          <w:rFonts w:ascii="Eurostile" w:hAnsi="Eurostile"/>
          <w:b/>
          <w:color w:val="000000"/>
          <w:sz w:val="22"/>
          <w:szCs w:val="22"/>
          <w:lang w:val="fr-FR" w:bidi="ar-MA"/>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 xml:space="preserve">Perspectives de développement Post-2015 </w:t>
      </w:r>
    </w:p>
    <w:p w:rsidR="00780AA9" w:rsidRPr="001707AF" w:rsidRDefault="00780AA9" w:rsidP="00780AA9">
      <w:pPr>
        <w:autoSpaceDE w:val="0"/>
        <w:autoSpaceDN w:val="0"/>
        <w:adjustRightInd w:val="0"/>
        <w:spacing w:line="240" w:lineRule="atLeast"/>
        <w:jc w:val="both"/>
        <w:rPr>
          <w:rFonts w:ascii="Eurostile" w:hAnsi="Eurostile"/>
          <w:color w:val="000000"/>
          <w:sz w:val="22"/>
          <w:szCs w:val="22"/>
        </w:rPr>
      </w:pPr>
      <w:r w:rsidRPr="001707AF">
        <w:rPr>
          <w:rFonts w:ascii="Eurostile" w:hAnsi="Eurostile"/>
          <w:color w:val="000000"/>
          <w:sz w:val="22"/>
          <w:szCs w:val="22"/>
        </w:rPr>
        <w:t>L</w:t>
      </w:r>
      <w:r>
        <w:rPr>
          <w:rFonts w:ascii="Eurostile" w:hAnsi="Eurostile"/>
          <w:color w:val="000000"/>
          <w:sz w:val="22"/>
          <w:szCs w:val="22"/>
        </w:rPr>
        <w:t>e Bureau de la</w:t>
      </w:r>
      <w:r w:rsidRPr="001707AF">
        <w:rPr>
          <w:rFonts w:ascii="Eurostile" w:hAnsi="Eurostile"/>
          <w:color w:val="000000"/>
          <w:sz w:val="22"/>
          <w:szCs w:val="22"/>
        </w:rPr>
        <w:t xml:space="preserve"> </w:t>
      </w:r>
      <w:r>
        <w:rPr>
          <w:rFonts w:ascii="Eurostile" w:hAnsi="Eurostile"/>
          <w:color w:val="000000"/>
          <w:sz w:val="22"/>
          <w:szCs w:val="22"/>
        </w:rPr>
        <w:t>CEA-AN</w:t>
      </w:r>
      <w:r w:rsidRPr="001707AF">
        <w:rPr>
          <w:rFonts w:ascii="Eurostile" w:hAnsi="Eurostile"/>
          <w:color w:val="000000"/>
          <w:sz w:val="22"/>
          <w:szCs w:val="22"/>
        </w:rPr>
        <w:t xml:space="preserve"> présentera au Comité un rapport sur les progrès vers l’atteinte des OMD en Afrique du Nord, </w:t>
      </w:r>
    </w:p>
    <w:p w:rsidR="00780AA9" w:rsidRPr="001707AF" w:rsidRDefault="00780AA9" w:rsidP="00780AA9">
      <w:pPr>
        <w:autoSpaceDE w:val="0"/>
        <w:autoSpaceDN w:val="0"/>
        <w:adjustRightInd w:val="0"/>
        <w:spacing w:line="240" w:lineRule="atLeast"/>
        <w:jc w:val="both"/>
        <w:rPr>
          <w:rFonts w:ascii="Eurostile" w:hAnsi="Eurostile"/>
          <w:color w:val="000000"/>
          <w:sz w:val="22"/>
          <w:szCs w:val="22"/>
        </w:rPr>
      </w:pPr>
      <w:r w:rsidRPr="001707AF">
        <w:rPr>
          <w:rFonts w:ascii="Eurostile" w:hAnsi="Eurostile"/>
          <w:sz w:val="22"/>
          <w:szCs w:val="22"/>
        </w:rPr>
        <w:t>Avec un accent particulier sur les perspectives et le processus préparatoire de l’Agenda Post-2015 </w:t>
      </w:r>
    </w:p>
    <w:p w:rsidR="00780AA9" w:rsidRPr="001707AF" w:rsidRDefault="00780AA9" w:rsidP="00780AA9">
      <w:pPr>
        <w:rPr>
          <w:rFonts w:ascii="Eurostile" w:hAnsi="Eurostile"/>
          <w:b/>
          <w:bCs/>
          <w:sz w:val="22"/>
          <w:szCs w:val="22"/>
        </w:rPr>
      </w:pPr>
    </w:p>
    <w:p w:rsidR="00780AA9" w:rsidRPr="001707AF" w:rsidRDefault="00780AA9" w:rsidP="00780AA9">
      <w:pPr>
        <w:rPr>
          <w:rFonts w:ascii="Eurostile" w:hAnsi="Eurostile"/>
          <w:b/>
          <w:bCs/>
          <w:sz w:val="22"/>
          <w:szCs w:val="22"/>
          <w:rtl/>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 xml:space="preserve">Activités du Bureau (mars 2012 – février 2013) et Présentation du programme d’activités 2013 de la CEA-AN </w:t>
      </w:r>
    </w:p>
    <w:p w:rsidR="00780AA9" w:rsidRPr="001707AF" w:rsidRDefault="00780AA9" w:rsidP="00780AA9">
      <w:pPr>
        <w:autoSpaceDE w:val="0"/>
        <w:autoSpaceDN w:val="0"/>
        <w:adjustRightInd w:val="0"/>
        <w:spacing w:line="240" w:lineRule="atLeast"/>
        <w:jc w:val="both"/>
        <w:rPr>
          <w:rFonts w:ascii="Eurostile" w:hAnsi="Eurostile"/>
          <w:sz w:val="22"/>
          <w:szCs w:val="22"/>
        </w:rPr>
      </w:pPr>
      <w:r w:rsidRPr="001707AF">
        <w:rPr>
          <w:rFonts w:ascii="Eurostile" w:hAnsi="Eurostile"/>
          <w:sz w:val="22"/>
          <w:szCs w:val="22"/>
        </w:rPr>
        <w:t xml:space="preserve">Le </w:t>
      </w:r>
      <w:r>
        <w:rPr>
          <w:rFonts w:ascii="Eurostile" w:hAnsi="Eurostile"/>
          <w:color w:val="000000"/>
          <w:sz w:val="22"/>
          <w:szCs w:val="22"/>
        </w:rPr>
        <w:t xml:space="preserve">Bureau </w:t>
      </w:r>
      <w:r w:rsidRPr="001707AF">
        <w:rPr>
          <w:rFonts w:ascii="Eurostile" w:hAnsi="Eurostile"/>
          <w:sz w:val="22"/>
          <w:szCs w:val="22"/>
        </w:rPr>
        <w:t>présentera les réalisations du Bureau durant la période mars 2012-</w:t>
      </w:r>
      <w:r>
        <w:rPr>
          <w:rFonts w:ascii="Eurostile" w:hAnsi="Eurostile"/>
          <w:sz w:val="22"/>
          <w:szCs w:val="22"/>
        </w:rPr>
        <w:t xml:space="preserve"> </w:t>
      </w:r>
      <w:r w:rsidRPr="001707AF">
        <w:rPr>
          <w:rFonts w:ascii="Eurostile" w:hAnsi="Eurostile"/>
          <w:sz w:val="22"/>
          <w:szCs w:val="22"/>
        </w:rPr>
        <w:t xml:space="preserve">février 2013, ainsi que le programme d’activités 2013. </w:t>
      </w:r>
    </w:p>
    <w:p w:rsidR="00780AA9" w:rsidRPr="001707AF" w:rsidRDefault="00780AA9" w:rsidP="00780AA9">
      <w:pPr>
        <w:autoSpaceDE w:val="0"/>
        <w:autoSpaceDN w:val="0"/>
        <w:adjustRightInd w:val="0"/>
        <w:spacing w:line="240" w:lineRule="atLeast"/>
        <w:jc w:val="both"/>
        <w:rPr>
          <w:rFonts w:ascii="Eurostile" w:hAnsi="Eurostile"/>
          <w:sz w:val="22"/>
          <w:szCs w:val="22"/>
        </w:rPr>
      </w:pPr>
    </w:p>
    <w:p w:rsidR="00780AA9" w:rsidRPr="001707AF" w:rsidRDefault="00780AA9" w:rsidP="00780AA9">
      <w:pPr>
        <w:autoSpaceDE w:val="0"/>
        <w:autoSpaceDN w:val="0"/>
        <w:adjustRightInd w:val="0"/>
        <w:spacing w:line="240" w:lineRule="atLeast"/>
        <w:jc w:val="both"/>
        <w:rPr>
          <w:rFonts w:ascii="Eurostile" w:hAnsi="Eurostile"/>
          <w:color w:val="000000"/>
          <w:sz w:val="22"/>
          <w:szCs w:val="22"/>
        </w:rPr>
      </w:pPr>
      <w:r>
        <w:rPr>
          <w:rFonts w:ascii="Eurostile" w:hAnsi="Eurostile"/>
          <w:sz w:val="22"/>
          <w:szCs w:val="22"/>
        </w:rPr>
        <w:t>Le r</w:t>
      </w:r>
      <w:r w:rsidRPr="001707AF">
        <w:rPr>
          <w:rFonts w:ascii="Eurostile" w:hAnsi="Eurostile"/>
          <w:sz w:val="22"/>
          <w:szCs w:val="22"/>
        </w:rPr>
        <w:t xml:space="preserve">apport sera fait également sur les activités relatives aux autres agendas internationaux et régionaux, notamment ceux relatifs au développement, à la population, aux questions de genre et aux TIC. </w:t>
      </w:r>
      <w:r w:rsidRPr="001707AF">
        <w:rPr>
          <w:rFonts w:ascii="Eurostile" w:hAnsi="Eurostile"/>
          <w:color w:val="000000"/>
          <w:sz w:val="22"/>
          <w:szCs w:val="22"/>
        </w:rPr>
        <w:t xml:space="preserve">Des recommandations seront faites à l’endroit des Etats, des institutions de coopération régionale et des autres acteurs et partenaires engagés sur ces questions de développement. </w:t>
      </w:r>
    </w:p>
    <w:p w:rsidR="00780AA9" w:rsidRPr="001707AF" w:rsidRDefault="00780AA9" w:rsidP="00780AA9">
      <w:pPr>
        <w:rPr>
          <w:rFonts w:ascii="Eurostile" w:hAnsi="Eurostile"/>
          <w:b/>
          <w:bCs/>
          <w:sz w:val="22"/>
          <w:szCs w:val="22"/>
          <w:lang w:bidi="ar-MA"/>
        </w:rPr>
      </w:pPr>
    </w:p>
    <w:p w:rsidR="00780AA9" w:rsidRPr="001707AF" w:rsidRDefault="00780AA9" w:rsidP="00780AA9">
      <w:pPr>
        <w:rPr>
          <w:rFonts w:ascii="Eurostile" w:hAnsi="Eurostile"/>
          <w:b/>
          <w:bCs/>
          <w:sz w:val="22"/>
          <w:szCs w:val="22"/>
          <w:lang w:bidi="ar-MA"/>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Projet de programme de travail 2014-2015</w:t>
      </w:r>
    </w:p>
    <w:p w:rsidR="00780AA9" w:rsidRPr="001707AF" w:rsidRDefault="00780AA9" w:rsidP="00780AA9">
      <w:pPr>
        <w:jc w:val="both"/>
        <w:rPr>
          <w:rFonts w:ascii="Eurostile" w:hAnsi="Eurostile"/>
          <w:color w:val="000000"/>
          <w:sz w:val="22"/>
          <w:szCs w:val="22"/>
        </w:rPr>
      </w:pPr>
      <w:r w:rsidRPr="001707AF">
        <w:rPr>
          <w:rFonts w:ascii="Eurostile" w:hAnsi="Eurostile"/>
          <w:bCs/>
          <w:sz w:val="22"/>
          <w:szCs w:val="22"/>
        </w:rPr>
        <w:t xml:space="preserve">Le </w:t>
      </w:r>
      <w:r>
        <w:rPr>
          <w:rFonts w:ascii="Eurostile" w:hAnsi="Eurostile"/>
          <w:color w:val="000000"/>
          <w:sz w:val="22"/>
          <w:szCs w:val="22"/>
        </w:rPr>
        <w:t>Bureau de la</w:t>
      </w:r>
      <w:r w:rsidRPr="001707AF">
        <w:rPr>
          <w:rFonts w:ascii="Eurostile" w:hAnsi="Eurostile"/>
          <w:color w:val="000000"/>
          <w:sz w:val="22"/>
          <w:szCs w:val="22"/>
        </w:rPr>
        <w:t xml:space="preserve"> </w:t>
      </w:r>
      <w:r>
        <w:rPr>
          <w:rFonts w:ascii="Eurostile" w:hAnsi="Eurostile"/>
          <w:color w:val="000000"/>
          <w:sz w:val="22"/>
          <w:szCs w:val="22"/>
        </w:rPr>
        <w:t>CEA-AN</w:t>
      </w:r>
      <w:r w:rsidRPr="001707AF">
        <w:rPr>
          <w:rFonts w:ascii="Eurostile" w:hAnsi="Eurostile"/>
          <w:color w:val="000000"/>
          <w:sz w:val="22"/>
          <w:szCs w:val="22"/>
        </w:rPr>
        <w:t xml:space="preserve"> présentera le cadre stratégique de son action pour la période 2014-2015. Celui-ci définit les objectifs à atteindre durant le </w:t>
      </w:r>
      <w:proofErr w:type="spellStart"/>
      <w:r w:rsidRPr="001707AF">
        <w:rPr>
          <w:rFonts w:ascii="Eurostile" w:hAnsi="Eurostile"/>
          <w:color w:val="000000"/>
          <w:sz w:val="22"/>
          <w:szCs w:val="22"/>
        </w:rPr>
        <w:t>biennum</w:t>
      </w:r>
      <w:proofErr w:type="spellEnd"/>
      <w:r w:rsidRPr="001707AF">
        <w:rPr>
          <w:rFonts w:ascii="Eurostile" w:hAnsi="Eurostile"/>
          <w:color w:val="000000"/>
          <w:sz w:val="22"/>
          <w:szCs w:val="22"/>
        </w:rPr>
        <w:t xml:space="preserve"> 2014-2015, les résultats escomptés, les indicateurs de performance et la stratégie de mise en œuvre. Il identifie aussi les facteurs externes pouvant faciliter ou au contraire retarder la réalisation des objectifs poursuivis.</w:t>
      </w:r>
    </w:p>
    <w:p w:rsidR="00780AA9" w:rsidRPr="001707AF" w:rsidRDefault="00780AA9" w:rsidP="00780AA9">
      <w:pPr>
        <w:rPr>
          <w:rFonts w:ascii="Eurostile" w:hAnsi="Eurostile"/>
          <w:bCs/>
          <w:sz w:val="22"/>
          <w:szCs w:val="22"/>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lastRenderedPageBreak/>
        <w:t xml:space="preserve">Activités de la </w:t>
      </w:r>
      <w:smartTag w:uri="urn:schemas-microsoft-com:office:smarttags" w:element="stockticker">
        <w:r w:rsidRPr="001707AF">
          <w:rPr>
            <w:rFonts w:ascii="Eurostile" w:hAnsi="Eurostile"/>
            <w:b/>
            <w:bCs/>
            <w:color w:val="31849B" w:themeColor="accent5" w:themeShade="BF"/>
            <w:sz w:val="22"/>
            <w:szCs w:val="22"/>
            <w:lang w:val="fr-FR"/>
          </w:rPr>
          <w:t>CEA</w:t>
        </w:r>
      </w:smartTag>
    </w:p>
    <w:p w:rsidR="00780AA9" w:rsidRPr="001707AF" w:rsidRDefault="00780AA9" w:rsidP="00780AA9">
      <w:pPr>
        <w:jc w:val="both"/>
        <w:rPr>
          <w:rFonts w:ascii="Eurostile" w:hAnsi="Eurostile"/>
          <w:color w:val="000000"/>
          <w:sz w:val="22"/>
          <w:szCs w:val="22"/>
        </w:rPr>
      </w:pPr>
      <w:r w:rsidRPr="001707AF">
        <w:rPr>
          <w:rFonts w:ascii="Eurostile" w:hAnsi="Eurostile"/>
          <w:color w:val="000000"/>
          <w:sz w:val="22"/>
          <w:szCs w:val="22"/>
        </w:rPr>
        <w:t>Le Bureau de la Planification stratégique et de la Gestion des Programmes (OPM/CEA) fera au Comité une présentation sur les activités de la  Commission et ses programmes de travail.</w:t>
      </w:r>
    </w:p>
    <w:p w:rsidR="00780AA9" w:rsidRPr="001707AF" w:rsidRDefault="00780AA9" w:rsidP="00780AA9">
      <w:pPr>
        <w:rPr>
          <w:rFonts w:ascii="Eurostile" w:hAnsi="Eurostile"/>
          <w:b/>
          <w:color w:val="000000"/>
          <w:sz w:val="22"/>
          <w:szCs w:val="22"/>
          <w:lang w:bidi="ar-MA"/>
        </w:rPr>
      </w:pPr>
    </w:p>
    <w:p w:rsidR="00780AA9" w:rsidRPr="001707AF" w:rsidRDefault="00780AA9" w:rsidP="00780AA9">
      <w:pPr>
        <w:rPr>
          <w:rFonts w:ascii="Eurostile" w:hAnsi="Eurostile"/>
          <w:b/>
          <w:color w:val="000000"/>
          <w:sz w:val="22"/>
          <w:szCs w:val="22"/>
          <w:lang w:bidi="ar-MA"/>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Session spéciale sur l’intégration régionale en Afrique du Nord</w:t>
      </w:r>
    </w:p>
    <w:p w:rsidR="00780AA9" w:rsidRPr="001707AF" w:rsidRDefault="00780AA9" w:rsidP="00780AA9">
      <w:pPr>
        <w:autoSpaceDE w:val="0"/>
        <w:autoSpaceDN w:val="0"/>
        <w:adjustRightInd w:val="0"/>
        <w:jc w:val="both"/>
        <w:rPr>
          <w:rFonts w:ascii="Eurostile" w:hAnsi="Eurostile"/>
          <w:sz w:val="22"/>
          <w:szCs w:val="22"/>
        </w:rPr>
      </w:pPr>
      <w:r w:rsidRPr="001707AF">
        <w:rPr>
          <w:rFonts w:ascii="Eurostile" w:hAnsi="Eurostile"/>
          <w:sz w:val="22"/>
          <w:szCs w:val="22"/>
        </w:rPr>
        <w:t xml:space="preserve">Le </w:t>
      </w:r>
      <w:r>
        <w:rPr>
          <w:rFonts w:ascii="Eurostile" w:hAnsi="Eurostile"/>
          <w:color w:val="000000"/>
          <w:sz w:val="22"/>
          <w:szCs w:val="22"/>
        </w:rPr>
        <w:t>Bureau de la</w:t>
      </w:r>
      <w:r w:rsidRPr="001707AF">
        <w:rPr>
          <w:rFonts w:ascii="Eurostile" w:hAnsi="Eurostile"/>
          <w:color w:val="000000"/>
          <w:sz w:val="22"/>
          <w:szCs w:val="22"/>
        </w:rPr>
        <w:t xml:space="preserve"> </w:t>
      </w:r>
      <w:r>
        <w:rPr>
          <w:rFonts w:ascii="Eurostile" w:hAnsi="Eurostile"/>
          <w:color w:val="000000"/>
          <w:sz w:val="22"/>
          <w:szCs w:val="22"/>
        </w:rPr>
        <w:t>CEA-AN</w:t>
      </w:r>
      <w:r w:rsidRPr="001707AF">
        <w:rPr>
          <w:rFonts w:ascii="Eurostile" w:hAnsi="Eurostile"/>
          <w:color w:val="000000"/>
          <w:sz w:val="22"/>
          <w:szCs w:val="22"/>
        </w:rPr>
        <w:t xml:space="preserve"> </w:t>
      </w:r>
      <w:r w:rsidRPr="001707AF">
        <w:rPr>
          <w:rFonts w:ascii="Eurostile" w:hAnsi="Eurostile"/>
          <w:sz w:val="22"/>
          <w:szCs w:val="22"/>
        </w:rPr>
        <w:t xml:space="preserve">présentera au Comité un rapport sur l’état de mise en œuvre de son programme pluriannuel de coopération avec l’UMA pour la période 2010-2012. Le </w:t>
      </w:r>
      <w:r>
        <w:rPr>
          <w:rFonts w:ascii="Eurostile" w:hAnsi="Eurostile"/>
          <w:color w:val="000000"/>
          <w:sz w:val="22"/>
          <w:szCs w:val="22"/>
        </w:rPr>
        <w:t>Bureau de la</w:t>
      </w:r>
      <w:r w:rsidRPr="001707AF">
        <w:rPr>
          <w:rFonts w:ascii="Eurostile" w:hAnsi="Eurostile"/>
          <w:color w:val="000000"/>
          <w:sz w:val="22"/>
          <w:szCs w:val="22"/>
        </w:rPr>
        <w:t xml:space="preserve"> </w:t>
      </w:r>
      <w:r>
        <w:rPr>
          <w:rFonts w:ascii="Eurostile" w:hAnsi="Eurostile"/>
          <w:color w:val="000000"/>
          <w:sz w:val="22"/>
          <w:szCs w:val="22"/>
        </w:rPr>
        <w:t>CEA-AN</w:t>
      </w:r>
      <w:r w:rsidRPr="001707AF">
        <w:rPr>
          <w:rFonts w:ascii="Eurostile" w:hAnsi="Eurostile"/>
          <w:color w:val="000000"/>
          <w:sz w:val="22"/>
          <w:szCs w:val="22"/>
        </w:rPr>
        <w:t xml:space="preserve"> </w:t>
      </w:r>
      <w:r w:rsidRPr="001707AF">
        <w:rPr>
          <w:rFonts w:ascii="Eurostile" w:hAnsi="Eurostile"/>
          <w:sz w:val="22"/>
          <w:szCs w:val="22"/>
        </w:rPr>
        <w:t>et d’autres experts de haut niveau feront également des communications sur l’état actuel et les perspectives d’approfondissement du processus d’intégration en Afrique du Nord, notamment sur la thématique des mesures de facilitation du commerce inter-</w:t>
      </w:r>
      <w:r>
        <w:rPr>
          <w:rFonts w:ascii="Eurostile" w:hAnsi="Eurostile"/>
          <w:sz w:val="22"/>
          <w:szCs w:val="22"/>
        </w:rPr>
        <w:t>é</w:t>
      </w:r>
      <w:r w:rsidRPr="001707AF">
        <w:rPr>
          <w:rFonts w:ascii="Eurostile" w:hAnsi="Eurostile"/>
          <w:sz w:val="22"/>
          <w:szCs w:val="22"/>
        </w:rPr>
        <w:t>tats.</w:t>
      </w:r>
    </w:p>
    <w:p w:rsidR="00780AA9" w:rsidRPr="001707AF" w:rsidRDefault="00780AA9" w:rsidP="00780AA9">
      <w:pPr>
        <w:rPr>
          <w:rFonts w:ascii="Eurostile" w:hAnsi="Eurostile"/>
          <w:b/>
          <w:color w:val="000000"/>
          <w:sz w:val="22"/>
          <w:szCs w:val="22"/>
          <w:lang w:bidi="ar-MA"/>
        </w:rPr>
      </w:pPr>
    </w:p>
    <w:p w:rsidR="00780AA9" w:rsidRPr="001707AF" w:rsidRDefault="00780AA9" w:rsidP="00780AA9">
      <w:pPr>
        <w:tabs>
          <w:tab w:val="left" w:pos="480"/>
        </w:tabs>
        <w:ind w:left="600"/>
        <w:jc w:val="both"/>
        <w:rPr>
          <w:rFonts w:ascii="Eurostile" w:hAnsi="Eurostile"/>
          <w:b/>
          <w:color w:val="000000"/>
          <w:sz w:val="22"/>
          <w:szCs w:val="22"/>
          <w:lang w:bidi="ar-MA"/>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 xml:space="preserve">Examen et approbation des recommandations de la réunion ad hoc d’experts sur le thème ‘Sophistication et diversification des économies nord-africaines’  </w:t>
      </w:r>
    </w:p>
    <w:p w:rsidR="00780AA9" w:rsidRPr="001707AF" w:rsidRDefault="00780AA9" w:rsidP="00780AA9">
      <w:pPr>
        <w:jc w:val="both"/>
        <w:rPr>
          <w:rFonts w:ascii="Eurostile" w:hAnsi="Eurostile"/>
          <w:bCs/>
          <w:sz w:val="22"/>
          <w:szCs w:val="22"/>
        </w:rPr>
      </w:pPr>
      <w:r w:rsidRPr="001707AF">
        <w:rPr>
          <w:rFonts w:ascii="Eurostile" w:hAnsi="Eurostile"/>
          <w:bCs/>
          <w:sz w:val="22"/>
          <w:szCs w:val="22"/>
        </w:rPr>
        <w:t>Le Comité sera informé des conclusions et recommandations de la réunion ad hoc d’experts sur le thème « </w:t>
      </w:r>
      <w:r w:rsidRPr="001707AF">
        <w:rPr>
          <w:rFonts w:ascii="Eurostile" w:hAnsi="Eurostile"/>
          <w:bCs/>
          <w:i/>
          <w:sz w:val="22"/>
          <w:szCs w:val="22"/>
        </w:rPr>
        <w:t>Sophistication et diversification des économies nord-africaines</w:t>
      </w:r>
      <w:r w:rsidRPr="001707AF">
        <w:rPr>
          <w:rFonts w:ascii="Eurostile" w:hAnsi="Eurostile"/>
          <w:bCs/>
          <w:sz w:val="22"/>
          <w:szCs w:val="22"/>
        </w:rPr>
        <w:t>’ qui lui seront soumises pour approbation.</w:t>
      </w:r>
    </w:p>
    <w:p w:rsidR="00780AA9" w:rsidRPr="001707AF" w:rsidRDefault="00780AA9" w:rsidP="00780AA9">
      <w:pPr>
        <w:pStyle w:val="NormalWeb"/>
        <w:tabs>
          <w:tab w:val="left" w:pos="480"/>
        </w:tabs>
        <w:spacing w:before="0" w:beforeAutospacing="0" w:after="0" w:afterAutospacing="0"/>
        <w:ind w:right="144"/>
        <w:jc w:val="both"/>
        <w:rPr>
          <w:rFonts w:ascii="Eurostile" w:hAnsi="Eurostile"/>
          <w:b/>
          <w:sz w:val="22"/>
          <w:szCs w:val="22"/>
          <w:lang w:val="fr-FR"/>
        </w:rPr>
      </w:pPr>
    </w:p>
    <w:p w:rsidR="00780AA9" w:rsidRPr="001707AF" w:rsidRDefault="00780AA9" w:rsidP="00780AA9">
      <w:pPr>
        <w:pStyle w:val="NormalWeb"/>
        <w:tabs>
          <w:tab w:val="left" w:pos="720"/>
        </w:tabs>
        <w:spacing w:before="0" w:beforeAutospacing="0" w:after="0" w:afterAutospacing="0"/>
        <w:ind w:right="144"/>
        <w:jc w:val="both"/>
        <w:rPr>
          <w:rFonts w:ascii="Eurostile" w:hAnsi="Eurostile"/>
          <w:sz w:val="22"/>
          <w:szCs w:val="22"/>
          <w:lang w:val="fr-FR"/>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Examen et adoption des recommandations et du rapport du CIE</w:t>
      </w:r>
    </w:p>
    <w:p w:rsidR="00780AA9" w:rsidRPr="001707AF" w:rsidRDefault="00780AA9" w:rsidP="00780AA9">
      <w:pPr>
        <w:pStyle w:val="NormalWeb"/>
        <w:spacing w:before="0" w:beforeAutospacing="0" w:after="0" w:afterAutospacing="0"/>
        <w:ind w:right="144"/>
        <w:jc w:val="both"/>
        <w:rPr>
          <w:rFonts w:ascii="Eurostile" w:hAnsi="Eurostile"/>
          <w:sz w:val="22"/>
          <w:szCs w:val="22"/>
          <w:lang w:val="fr-FR"/>
        </w:rPr>
      </w:pPr>
      <w:r w:rsidRPr="001707AF">
        <w:rPr>
          <w:rFonts w:ascii="Eurostile" w:hAnsi="Eurostile"/>
          <w:sz w:val="22"/>
          <w:szCs w:val="22"/>
          <w:lang w:val="fr-FR"/>
        </w:rPr>
        <w:t>Le Comité examinera et adoptera les conclusions et recommandations issues des travaux de la 28</w:t>
      </w:r>
      <w:r w:rsidRPr="001707AF">
        <w:rPr>
          <w:rFonts w:ascii="Eurostile" w:hAnsi="Eurostile"/>
          <w:sz w:val="22"/>
          <w:szCs w:val="22"/>
          <w:vertAlign w:val="superscript"/>
          <w:lang w:val="fr-FR"/>
        </w:rPr>
        <w:t>ème</w:t>
      </w:r>
      <w:r w:rsidRPr="001707AF">
        <w:rPr>
          <w:rFonts w:ascii="Eurostile" w:hAnsi="Eurostile"/>
          <w:sz w:val="22"/>
          <w:szCs w:val="22"/>
          <w:lang w:val="fr-FR"/>
        </w:rPr>
        <w:t xml:space="preserve"> session du CIE ainsi que le  rapport de la  réunion</w:t>
      </w:r>
    </w:p>
    <w:p w:rsidR="00780AA9" w:rsidRPr="001707AF" w:rsidRDefault="00780AA9" w:rsidP="00780AA9">
      <w:pPr>
        <w:pStyle w:val="NormalWeb"/>
        <w:spacing w:before="0" w:beforeAutospacing="0" w:after="0" w:afterAutospacing="0"/>
        <w:ind w:right="144"/>
        <w:jc w:val="both"/>
        <w:rPr>
          <w:rFonts w:ascii="Eurostile" w:hAnsi="Eurostile"/>
          <w:b/>
          <w:bCs/>
          <w:sz w:val="22"/>
          <w:szCs w:val="22"/>
          <w:lang w:val="fr-FR"/>
        </w:rPr>
      </w:pPr>
    </w:p>
    <w:p w:rsidR="00780AA9" w:rsidRPr="001707AF" w:rsidRDefault="00780AA9" w:rsidP="00780AA9">
      <w:pPr>
        <w:pStyle w:val="NormalWeb"/>
        <w:spacing w:before="0" w:beforeAutospacing="0" w:after="0" w:afterAutospacing="0"/>
        <w:ind w:left="480" w:right="144"/>
        <w:jc w:val="both"/>
        <w:rPr>
          <w:rFonts w:ascii="Eurostile" w:hAnsi="Eurostile"/>
          <w:b/>
          <w:bCs/>
          <w:sz w:val="22"/>
          <w:szCs w:val="22"/>
          <w:lang w:val="fr-FR"/>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 xml:space="preserve">Date et lieu de la prochaine réunion du CIE </w:t>
      </w:r>
    </w:p>
    <w:p w:rsidR="00780AA9" w:rsidRPr="001707AF" w:rsidRDefault="00780AA9" w:rsidP="00780AA9">
      <w:pPr>
        <w:pStyle w:val="NormalWeb"/>
        <w:tabs>
          <w:tab w:val="left" w:pos="480"/>
        </w:tabs>
        <w:spacing w:before="0" w:beforeAutospacing="0" w:after="0" w:afterAutospacing="0"/>
        <w:ind w:right="144"/>
        <w:jc w:val="both"/>
        <w:rPr>
          <w:rFonts w:ascii="Eurostile" w:hAnsi="Eurostile"/>
          <w:b/>
          <w:sz w:val="22"/>
          <w:szCs w:val="22"/>
          <w:lang w:val="fr-FR"/>
        </w:rPr>
      </w:pPr>
      <w:r w:rsidRPr="001707AF">
        <w:rPr>
          <w:rFonts w:ascii="Eurostile" w:hAnsi="Eurostile"/>
          <w:sz w:val="22"/>
          <w:szCs w:val="22"/>
          <w:lang w:val="fr-FR"/>
        </w:rPr>
        <w:t>Le Comité décidera de la date et du lieu de sa 29</w:t>
      </w:r>
      <w:r w:rsidRPr="001707AF">
        <w:rPr>
          <w:rFonts w:ascii="Eurostile" w:hAnsi="Eurostile"/>
          <w:sz w:val="22"/>
          <w:szCs w:val="22"/>
          <w:vertAlign w:val="superscript"/>
          <w:lang w:val="fr-FR"/>
        </w:rPr>
        <w:t>ème</w:t>
      </w:r>
      <w:r w:rsidRPr="001707AF">
        <w:rPr>
          <w:rFonts w:ascii="Eurostile" w:hAnsi="Eurostile"/>
          <w:sz w:val="22"/>
          <w:szCs w:val="22"/>
          <w:lang w:val="fr-FR"/>
        </w:rPr>
        <w:t xml:space="preserve"> réunion</w:t>
      </w:r>
    </w:p>
    <w:p w:rsidR="00780AA9" w:rsidRDefault="00780AA9" w:rsidP="00780AA9">
      <w:pPr>
        <w:pStyle w:val="NormalWeb"/>
        <w:tabs>
          <w:tab w:val="left" w:pos="480"/>
        </w:tabs>
        <w:spacing w:before="0" w:beforeAutospacing="0" w:after="0" w:afterAutospacing="0"/>
        <w:ind w:left="600" w:right="144"/>
        <w:jc w:val="both"/>
        <w:rPr>
          <w:rFonts w:ascii="Eurostile" w:hAnsi="Eurostile"/>
          <w:b/>
          <w:sz w:val="22"/>
          <w:szCs w:val="22"/>
          <w:lang w:val="fr-FR"/>
        </w:rPr>
      </w:pPr>
    </w:p>
    <w:p w:rsidR="00780AA9" w:rsidRPr="001707AF" w:rsidRDefault="00780AA9" w:rsidP="00780AA9">
      <w:pPr>
        <w:pStyle w:val="NormalWeb"/>
        <w:tabs>
          <w:tab w:val="left" w:pos="480"/>
        </w:tabs>
        <w:spacing w:before="0" w:beforeAutospacing="0" w:after="0" w:afterAutospacing="0"/>
        <w:ind w:left="600" w:right="144"/>
        <w:jc w:val="both"/>
        <w:rPr>
          <w:rFonts w:ascii="Eurostile" w:hAnsi="Eurostile"/>
          <w:b/>
          <w:sz w:val="22"/>
          <w:szCs w:val="22"/>
          <w:lang w:val="fr-FR"/>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Questions diverses</w:t>
      </w:r>
    </w:p>
    <w:p w:rsidR="00780AA9" w:rsidRPr="001707AF" w:rsidRDefault="00780AA9" w:rsidP="00780AA9">
      <w:pPr>
        <w:pStyle w:val="NormalWeb"/>
        <w:spacing w:before="0" w:beforeAutospacing="0" w:after="0" w:afterAutospacing="0"/>
        <w:ind w:right="144"/>
        <w:jc w:val="both"/>
        <w:rPr>
          <w:rFonts w:ascii="Eurostile" w:hAnsi="Eurostile"/>
          <w:sz w:val="22"/>
          <w:szCs w:val="22"/>
          <w:lang w:val="fr-FR"/>
        </w:rPr>
      </w:pPr>
      <w:r w:rsidRPr="001707AF">
        <w:rPr>
          <w:rFonts w:ascii="Eurostile" w:hAnsi="Eurostile"/>
          <w:sz w:val="22"/>
          <w:szCs w:val="22"/>
          <w:lang w:val="fr-FR"/>
        </w:rPr>
        <w:t>Le Comité examinera le cas échéant d’autres questions soulevées par les participants.</w:t>
      </w:r>
    </w:p>
    <w:p w:rsidR="00780AA9" w:rsidRDefault="00780AA9" w:rsidP="00780AA9">
      <w:pPr>
        <w:tabs>
          <w:tab w:val="left" w:pos="-720"/>
          <w:tab w:val="left" w:pos="720"/>
        </w:tabs>
        <w:suppressAutoHyphens/>
        <w:rPr>
          <w:rFonts w:ascii="Eurostile" w:hAnsi="Eurostile"/>
          <w:spacing w:val="-2"/>
          <w:sz w:val="22"/>
          <w:szCs w:val="22"/>
        </w:rPr>
      </w:pPr>
    </w:p>
    <w:p w:rsidR="00780AA9" w:rsidRPr="001707AF" w:rsidRDefault="00780AA9" w:rsidP="00780AA9">
      <w:pPr>
        <w:tabs>
          <w:tab w:val="left" w:pos="-720"/>
          <w:tab w:val="left" w:pos="720"/>
        </w:tabs>
        <w:suppressAutoHyphens/>
        <w:rPr>
          <w:rFonts w:ascii="Eurostile" w:hAnsi="Eurostile"/>
          <w:spacing w:val="-2"/>
          <w:sz w:val="22"/>
          <w:szCs w:val="22"/>
        </w:rPr>
      </w:pPr>
    </w:p>
    <w:p w:rsidR="00780AA9" w:rsidRPr="001707AF" w:rsidRDefault="00780AA9" w:rsidP="002646A7">
      <w:pPr>
        <w:pStyle w:val="NormalWeb"/>
        <w:numPr>
          <w:ilvl w:val="0"/>
          <w:numId w:val="2"/>
        </w:numPr>
        <w:spacing w:before="0" w:beforeAutospacing="0" w:after="120" w:afterAutospacing="0"/>
        <w:ind w:left="480" w:right="144" w:hanging="480"/>
        <w:jc w:val="both"/>
        <w:rPr>
          <w:rFonts w:ascii="Eurostile" w:hAnsi="Eurostile"/>
          <w:b/>
          <w:bCs/>
          <w:color w:val="31849B" w:themeColor="accent5" w:themeShade="BF"/>
          <w:sz w:val="22"/>
          <w:szCs w:val="22"/>
          <w:lang w:val="fr-FR"/>
        </w:rPr>
      </w:pPr>
      <w:r w:rsidRPr="001707AF">
        <w:rPr>
          <w:rFonts w:ascii="Eurostile" w:hAnsi="Eurostile"/>
          <w:b/>
          <w:bCs/>
          <w:color w:val="31849B" w:themeColor="accent5" w:themeShade="BF"/>
          <w:sz w:val="22"/>
          <w:szCs w:val="22"/>
          <w:lang w:val="fr-FR"/>
        </w:rPr>
        <w:t xml:space="preserve">Clôture de la réunion </w:t>
      </w:r>
    </w:p>
    <w:p w:rsidR="00780AA9" w:rsidRPr="001707AF" w:rsidRDefault="00780AA9" w:rsidP="00780AA9">
      <w:pPr>
        <w:autoSpaceDE w:val="0"/>
        <w:autoSpaceDN w:val="0"/>
        <w:adjustRightInd w:val="0"/>
        <w:jc w:val="both"/>
        <w:rPr>
          <w:rFonts w:ascii="Eurostile" w:hAnsi="Eurostile"/>
          <w:sz w:val="22"/>
          <w:szCs w:val="22"/>
        </w:rPr>
      </w:pPr>
      <w:r w:rsidRPr="001707AF">
        <w:rPr>
          <w:rFonts w:ascii="Eurostile" w:hAnsi="Eurostile"/>
          <w:sz w:val="22"/>
          <w:szCs w:val="22"/>
        </w:rPr>
        <w:t>Le Président déclarera close la 28</w:t>
      </w:r>
      <w:r w:rsidRPr="001707AF">
        <w:rPr>
          <w:rFonts w:ascii="Eurostile" w:hAnsi="Eurostile"/>
          <w:sz w:val="22"/>
          <w:szCs w:val="22"/>
          <w:vertAlign w:val="superscript"/>
        </w:rPr>
        <w:t>ème</w:t>
      </w:r>
      <w:r w:rsidRPr="001707AF">
        <w:rPr>
          <w:rFonts w:ascii="Eurostile" w:hAnsi="Eurostile"/>
          <w:sz w:val="22"/>
          <w:szCs w:val="22"/>
        </w:rPr>
        <w:t xml:space="preserve"> réunion du CIE.</w:t>
      </w:r>
    </w:p>
    <w:p w:rsidR="00780AA9" w:rsidRPr="001707AF" w:rsidRDefault="00780AA9" w:rsidP="00780AA9">
      <w:pPr>
        <w:pStyle w:val="NormalWeb"/>
        <w:spacing w:before="0" w:beforeAutospacing="0" w:after="0" w:afterAutospacing="0"/>
        <w:ind w:left="480" w:right="144"/>
        <w:jc w:val="both"/>
        <w:rPr>
          <w:rFonts w:ascii="Eurostile" w:hAnsi="Eurostile"/>
          <w:lang w:val="fr-FR"/>
        </w:rPr>
      </w:pPr>
    </w:p>
    <w:p w:rsidR="00D82DF4" w:rsidRPr="00780AA9" w:rsidRDefault="00D82DF4" w:rsidP="00780AA9">
      <w:pPr>
        <w:pStyle w:val="NormalWeb"/>
        <w:spacing w:before="0" w:beforeAutospacing="0" w:after="240" w:afterAutospacing="0"/>
        <w:ind w:left="480" w:right="144"/>
        <w:jc w:val="both"/>
        <w:rPr>
          <w:rFonts w:ascii="Eurostile" w:hAnsi="Eurostile"/>
          <w:sz w:val="22"/>
          <w:szCs w:val="22"/>
          <w:lang w:val="fr-FR"/>
        </w:rPr>
      </w:pPr>
    </w:p>
    <w:sectPr w:rsidR="00D82DF4" w:rsidRPr="00780AA9" w:rsidSect="00780AA9">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ouvenir Lt BT">
    <w:altName w:val="Georgia"/>
    <w:charset w:val="00"/>
    <w:family w:val="roman"/>
    <w:pitch w:val="variable"/>
    <w:sig w:usb0="00000007" w:usb1="00000000" w:usb2="00000000" w:usb3="00000000" w:csb0="00000011" w:csb1="00000000"/>
  </w:font>
  <w:font w:name="CG Times">
    <w:panose1 w:val="02020603050405020304"/>
    <w:charset w:val="00"/>
    <w:family w:val="roman"/>
    <w:pitch w:val="variable"/>
    <w:sig w:usb0="00000007" w:usb1="00000000" w:usb2="00000000" w:usb3="00000000" w:csb0="00000093"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urostile">
    <w:panose1 w:val="020B0504020202050204"/>
    <w:charset w:val="00"/>
    <w:family w:val="swiss"/>
    <w:pitch w:val="variable"/>
    <w:sig w:usb0="00000007" w:usb1="00000000" w:usb2="00000000" w:usb3="00000000" w:csb0="0000009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8F2"/>
    <w:multiLevelType w:val="hybridMultilevel"/>
    <w:tmpl w:val="587623F4"/>
    <w:lvl w:ilvl="0" w:tplc="AB7AEF28">
      <w:start w:val="1"/>
      <w:numFmt w:val="decimal"/>
      <w:lvlText w:val="%1."/>
      <w:lvlJc w:val="left"/>
      <w:pPr>
        <w:ind w:left="1080" w:hanging="720"/>
      </w:pPr>
      <w:rPr>
        <w:rFonts w:hint="default"/>
        <w:b w:val="0"/>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FD46C2B"/>
    <w:multiLevelType w:val="hybridMultilevel"/>
    <w:tmpl w:val="FA72B32A"/>
    <w:lvl w:ilvl="0" w:tplc="DA9ACDA2">
      <w:start w:val="1"/>
      <w:numFmt w:val="decimal"/>
      <w:lvlText w:val="%1."/>
      <w:lvlJc w:val="left"/>
      <w:pPr>
        <w:ind w:left="1080" w:hanging="72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627E"/>
    <w:rsid w:val="00007D9D"/>
    <w:rsid w:val="000858B5"/>
    <w:rsid w:val="000A4428"/>
    <w:rsid w:val="001479E9"/>
    <w:rsid w:val="00164F8B"/>
    <w:rsid w:val="00181DBF"/>
    <w:rsid w:val="001C0533"/>
    <w:rsid w:val="00241BD1"/>
    <w:rsid w:val="00261707"/>
    <w:rsid w:val="002625A3"/>
    <w:rsid w:val="00262ECA"/>
    <w:rsid w:val="002646A7"/>
    <w:rsid w:val="002750E9"/>
    <w:rsid w:val="002A0BE6"/>
    <w:rsid w:val="002C5FF6"/>
    <w:rsid w:val="0030793E"/>
    <w:rsid w:val="00321400"/>
    <w:rsid w:val="00323187"/>
    <w:rsid w:val="00372FF3"/>
    <w:rsid w:val="00426D38"/>
    <w:rsid w:val="00455335"/>
    <w:rsid w:val="00497DA5"/>
    <w:rsid w:val="004A4B13"/>
    <w:rsid w:val="0051562A"/>
    <w:rsid w:val="005504E4"/>
    <w:rsid w:val="005A1CD7"/>
    <w:rsid w:val="005B71D7"/>
    <w:rsid w:val="006073EB"/>
    <w:rsid w:val="006D5E01"/>
    <w:rsid w:val="006F52B4"/>
    <w:rsid w:val="0070452B"/>
    <w:rsid w:val="00720D0A"/>
    <w:rsid w:val="00780AA9"/>
    <w:rsid w:val="00823B8F"/>
    <w:rsid w:val="00855583"/>
    <w:rsid w:val="00860530"/>
    <w:rsid w:val="00885B05"/>
    <w:rsid w:val="00890CC4"/>
    <w:rsid w:val="00921497"/>
    <w:rsid w:val="0099208E"/>
    <w:rsid w:val="009D1AC6"/>
    <w:rsid w:val="009F2307"/>
    <w:rsid w:val="00A40973"/>
    <w:rsid w:val="00AB6057"/>
    <w:rsid w:val="00B06A49"/>
    <w:rsid w:val="00B21D12"/>
    <w:rsid w:val="00B25CDE"/>
    <w:rsid w:val="00B332CB"/>
    <w:rsid w:val="00BA25EC"/>
    <w:rsid w:val="00BB3603"/>
    <w:rsid w:val="00BC0D0C"/>
    <w:rsid w:val="00BC7A26"/>
    <w:rsid w:val="00BD74F7"/>
    <w:rsid w:val="00BE71C8"/>
    <w:rsid w:val="00C05895"/>
    <w:rsid w:val="00C10C4A"/>
    <w:rsid w:val="00C10E07"/>
    <w:rsid w:val="00C2627E"/>
    <w:rsid w:val="00C375C7"/>
    <w:rsid w:val="00C62510"/>
    <w:rsid w:val="00CA4C4C"/>
    <w:rsid w:val="00CC7055"/>
    <w:rsid w:val="00CE082C"/>
    <w:rsid w:val="00D62602"/>
    <w:rsid w:val="00D82DF4"/>
    <w:rsid w:val="00DE4524"/>
    <w:rsid w:val="00E76672"/>
    <w:rsid w:val="00EC273E"/>
    <w:rsid w:val="00EC3FE0"/>
    <w:rsid w:val="00EF5E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122">
      <o:colormenu v:ext="edit" strokecolor="none [24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27E"/>
    <w:rPr>
      <w:sz w:val="24"/>
      <w:szCs w:val="24"/>
    </w:rPr>
  </w:style>
  <w:style w:type="paragraph" w:styleId="Titre2">
    <w:name w:val="heading 2"/>
    <w:basedOn w:val="Normal"/>
    <w:next w:val="Normal"/>
    <w:link w:val="Titre2Car"/>
    <w:qFormat/>
    <w:rsid w:val="00855583"/>
    <w:pPr>
      <w:keepNext/>
      <w:jc w:val="center"/>
      <w:outlineLvl w:val="1"/>
    </w:pPr>
    <w:rPr>
      <w:rFonts w:ascii="Arial" w:eastAsia="SimSun" w:hAnsi="Arial" w:cs="Arial"/>
      <w:b/>
      <w:bCs/>
      <w:sz w:val="36"/>
      <w:szCs w:val="22"/>
      <w:lang w:val="en-US" w:eastAsia="zh-CN"/>
    </w:rPr>
  </w:style>
  <w:style w:type="paragraph" w:styleId="Titre4">
    <w:name w:val="heading 4"/>
    <w:basedOn w:val="Normal"/>
    <w:next w:val="Normal"/>
    <w:link w:val="Titre4Car"/>
    <w:qFormat/>
    <w:rsid w:val="00855583"/>
    <w:pPr>
      <w:keepNext/>
      <w:jc w:val="center"/>
      <w:outlineLvl w:val="3"/>
    </w:pPr>
    <w:rPr>
      <w:rFonts w:ascii="Arial" w:eastAsia="SimSun" w:hAnsi="Arial" w:cs="Arial"/>
      <w:b/>
      <w:sz w:val="40"/>
      <w:szCs w:val="22"/>
      <w:lang w:val="en-US" w:eastAsia="zh-CN"/>
    </w:rPr>
  </w:style>
  <w:style w:type="paragraph" w:styleId="Titre6">
    <w:name w:val="heading 6"/>
    <w:basedOn w:val="Normal"/>
    <w:next w:val="Normal"/>
    <w:link w:val="Titre6Car"/>
    <w:semiHidden/>
    <w:unhideWhenUsed/>
    <w:qFormat/>
    <w:rsid w:val="00C2627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855583"/>
    <w:rPr>
      <w:rFonts w:ascii="Arial" w:eastAsia="SimSun" w:hAnsi="Arial" w:cs="Arial"/>
      <w:b/>
      <w:bCs/>
      <w:sz w:val="36"/>
      <w:szCs w:val="22"/>
      <w:lang w:val="en-US" w:eastAsia="zh-CN"/>
    </w:rPr>
  </w:style>
  <w:style w:type="character" w:customStyle="1" w:styleId="Titre4Car">
    <w:name w:val="Titre 4 Car"/>
    <w:basedOn w:val="Policepardfaut"/>
    <w:link w:val="Titre4"/>
    <w:rsid w:val="00855583"/>
    <w:rPr>
      <w:rFonts w:ascii="Arial" w:eastAsia="SimSun" w:hAnsi="Arial" w:cs="Arial"/>
      <w:b/>
      <w:sz w:val="40"/>
      <w:szCs w:val="22"/>
      <w:lang w:val="en-US" w:eastAsia="zh-CN"/>
    </w:rPr>
  </w:style>
  <w:style w:type="character" w:styleId="lev">
    <w:name w:val="Strong"/>
    <w:basedOn w:val="Policepardfaut"/>
    <w:qFormat/>
    <w:rsid w:val="00855583"/>
    <w:rPr>
      <w:b/>
      <w:bCs/>
      <w:sz w:val="24"/>
      <w:szCs w:val="24"/>
      <w:lang w:val="en-GB" w:eastAsia="en-GB" w:bidi="ar-SA"/>
    </w:rPr>
  </w:style>
  <w:style w:type="paragraph" w:styleId="Paragraphedeliste">
    <w:name w:val="List Paragraph"/>
    <w:basedOn w:val="Normal"/>
    <w:qFormat/>
    <w:rsid w:val="00855583"/>
    <w:pPr>
      <w:spacing w:after="200" w:line="276" w:lineRule="auto"/>
      <w:ind w:left="720"/>
      <w:contextualSpacing/>
    </w:pPr>
    <w:rPr>
      <w:rFonts w:ascii="Calibri" w:eastAsia="Calibri" w:hAnsi="Calibri"/>
      <w:sz w:val="22"/>
      <w:szCs w:val="22"/>
      <w:lang w:eastAsia="en-US"/>
    </w:rPr>
  </w:style>
  <w:style w:type="character" w:customStyle="1" w:styleId="Titre6Car">
    <w:name w:val="Titre 6 Car"/>
    <w:basedOn w:val="Policepardfaut"/>
    <w:link w:val="Titre6"/>
    <w:semiHidden/>
    <w:rsid w:val="00C2627E"/>
    <w:rPr>
      <w:rFonts w:asciiTheme="majorHAnsi" w:eastAsiaTheme="majorEastAsia" w:hAnsiTheme="majorHAnsi" w:cstheme="majorBidi"/>
      <w:i/>
      <w:iCs/>
      <w:color w:val="243F60" w:themeColor="accent1" w:themeShade="7F"/>
      <w:sz w:val="24"/>
      <w:szCs w:val="24"/>
    </w:rPr>
  </w:style>
  <w:style w:type="paragraph" w:styleId="Corpsdetexte">
    <w:name w:val="Body Text"/>
    <w:basedOn w:val="Normal"/>
    <w:link w:val="CorpsdetexteCar"/>
    <w:rsid w:val="00C2627E"/>
    <w:pPr>
      <w:tabs>
        <w:tab w:val="left" w:pos="567"/>
      </w:tabs>
      <w:jc w:val="both"/>
    </w:pPr>
    <w:rPr>
      <w:rFonts w:ascii="Souvenir Lt BT" w:hAnsi="Souvenir Lt BT"/>
      <w:szCs w:val="20"/>
      <w:lang w:val="en-US" w:eastAsia="en-US"/>
    </w:rPr>
  </w:style>
  <w:style w:type="character" w:customStyle="1" w:styleId="CorpsdetexteCar">
    <w:name w:val="Corps de texte Car"/>
    <w:basedOn w:val="Policepardfaut"/>
    <w:link w:val="Corpsdetexte"/>
    <w:rsid w:val="00C2627E"/>
    <w:rPr>
      <w:rFonts w:ascii="Souvenir Lt BT" w:hAnsi="Souvenir Lt BT"/>
      <w:sz w:val="24"/>
      <w:lang w:val="en-US" w:eastAsia="en-US"/>
    </w:rPr>
  </w:style>
  <w:style w:type="paragraph" w:styleId="Pieddepage">
    <w:name w:val="footer"/>
    <w:basedOn w:val="Normal"/>
    <w:link w:val="PieddepageCar"/>
    <w:rsid w:val="00C2627E"/>
    <w:pPr>
      <w:tabs>
        <w:tab w:val="center" w:pos="4320"/>
        <w:tab w:val="right" w:pos="8640"/>
      </w:tabs>
      <w:jc w:val="both"/>
    </w:pPr>
    <w:rPr>
      <w:sz w:val="22"/>
      <w:szCs w:val="20"/>
      <w:lang w:val="en-US" w:eastAsia="en-US"/>
    </w:rPr>
  </w:style>
  <w:style w:type="character" w:customStyle="1" w:styleId="PieddepageCar">
    <w:name w:val="Pied de page Car"/>
    <w:basedOn w:val="Policepardfaut"/>
    <w:link w:val="Pieddepage"/>
    <w:rsid w:val="00C2627E"/>
    <w:rPr>
      <w:sz w:val="22"/>
      <w:lang w:val="en-US" w:eastAsia="en-US"/>
    </w:rPr>
  </w:style>
  <w:style w:type="paragraph" w:styleId="NormalWeb">
    <w:name w:val="Normal (Web)"/>
    <w:basedOn w:val="Normal"/>
    <w:uiPriority w:val="99"/>
    <w:rsid w:val="00C2627E"/>
    <w:pPr>
      <w:spacing w:before="100" w:beforeAutospacing="1" w:after="100" w:afterAutospacing="1"/>
    </w:pPr>
    <w:rPr>
      <w:lang w:val="en-US" w:eastAsia="en-US"/>
    </w:rPr>
  </w:style>
  <w:style w:type="paragraph" w:styleId="Sous-titre">
    <w:name w:val="Subtitle"/>
    <w:basedOn w:val="Normal"/>
    <w:link w:val="Sous-titreCar"/>
    <w:qFormat/>
    <w:rsid w:val="00C2627E"/>
    <w:pPr>
      <w:widowControl w:val="0"/>
    </w:pPr>
    <w:rPr>
      <w:rFonts w:ascii="CG Times" w:hAnsi="CG Times" w:cs="Courier New"/>
      <w:b/>
      <w:bCs/>
      <w:snapToGrid w:val="0"/>
      <w:lang w:val="en-US" w:eastAsia="en-US"/>
    </w:rPr>
  </w:style>
  <w:style w:type="character" w:customStyle="1" w:styleId="Sous-titreCar">
    <w:name w:val="Sous-titre Car"/>
    <w:basedOn w:val="Policepardfaut"/>
    <w:link w:val="Sous-titre"/>
    <w:rsid w:val="00C2627E"/>
    <w:rPr>
      <w:rFonts w:ascii="CG Times" w:hAnsi="CG Times" w:cs="Courier New"/>
      <w:b/>
      <w:bCs/>
      <w:snapToGrid w:val="0"/>
      <w:sz w:val="24"/>
      <w:szCs w:val="24"/>
      <w:lang w:val="en-US" w:eastAsia="en-US"/>
    </w:rPr>
  </w:style>
  <w:style w:type="paragraph" w:styleId="Textedebulles">
    <w:name w:val="Balloon Text"/>
    <w:basedOn w:val="Normal"/>
    <w:link w:val="TextedebullesCar"/>
    <w:uiPriority w:val="99"/>
    <w:semiHidden/>
    <w:unhideWhenUsed/>
    <w:rsid w:val="00CA4C4C"/>
    <w:rPr>
      <w:rFonts w:ascii="Tahoma" w:hAnsi="Tahoma" w:cs="Tahoma"/>
      <w:sz w:val="16"/>
      <w:szCs w:val="16"/>
    </w:rPr>
  </w:style>
  <w:style w:type="character" w:customStyle="1" w:styleId="TextedebullesCar">
    <w:name w:val="Texte de bulles Car"/>
    <w:basedOn w:val="Policepardfaut"/>
    <w:link w:val="Textedebulles"/>
    <w:uiPriority w:val="99"/>
    <w:semiHidden/>
    <w:rsid w:val="00CA4C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1107</Words>
  <Characters>6312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eca</Company>
  <LinksUpToDate>false</LinksUpToDate>
  <CharactersWithSpaces>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kane</dc:creator>
  <cp:keywords/>
  <dc:description/>
  <cp:lastModifiedBy> Mosseddek</cp:lastModifiedBy>
  <cp:revision>3</cp:revision>
  <cp:lastPrinted>2013-01-17T18:10:00Z</cp:lastPrinted>
  <dcterms:created xsi:type="dcterms:W3CDTF">2013-02-14T09:37:00Z</dcterms:created>
  <dcterms:modified xsi:type="dcterms:W3CDTF">2013-02-18T20:34:00Z</dcterms:modified>
</cp:coreProperties>
</file>