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tblpXSpec="center" w:tblpY="-570"/>
        <w:tblW w:w="9673" w:type="dxa"/>
        <w:tblBorders>
          <w:bottom w:val="single" w:sz="4" w:space="0" w:color="1F497D" w:themeColor="text2"/>
        </w:tblBorders>
        <w:tblLook w:val="04A0"/>
      </w:tblPr>
      <w:tblGrid>
        <w:gridCol w:w="4205"/>
        <w:gridCol w:w="5468"/>
      </w:tblGrid>
      <w:tr w:rsidR="006361AE" w:rsidRPr="00CD139D" w:rsidTr="00EA17A1">
        <w:trPr>
          <w:trHeight w:val="2277"/>
        </w:trPr>
        <w:tc>
          <w:tcPr>
            <w:tcW w:w="4205" w:type="dxa"/>
            <w:hideMark/>
          </w:tcPr>
          <w:p w:rsidR="006361AE" w:rsidRDefault="00000FDB" w:rsidP="00EA17A1">
            <w:pPr>
              <w:autoSpaceDE w:val="0"/>
              <w:autoSpaceDN w:val="0"/>
              <w:adjustRightInd w:val="0"/>
              <w:spacing w:after="120"/>
              <w:ind w:right="20"/>
              <w:jc w:val="center"/>
              <w:rPr>
                <w:rFonts w:ascii="ITC Avant Garde Gothic Demi" w:eastAsia="Calibri" w:hAnsi="ITC Avant Garde Gothic Demi"/>
                <w:b/>
                <w:color w:val="365F91"/>
                <w:sz w:val="20"/>
                <w:szCs w:val="20"/>
              </w:rPr>
            </w:pPr>
            <w:bookmarkStart w:id="0" w:name="OLE_LINK9"/>
            <w:bookmarkStart w:id="1" w:name="OLE_LINK10"/>
            <w:bookmarkStart w:id="2" w:name="OLE_LINK5"/>
            <w:bookmarkStart w:id="3" w:name="OLE_LINK4"/>
            <w:bookmarkStart w:id="4" w:name="OLE_LINK12"/>
            <w:bookmarkStart w:id="5" w:name="OLE_LINK11"/>
            <w:bookmarkStart w:id="6" w:name="OLE_LINK2"/>
            <w:bookmarkStart w:id="7" w:name="OLE_LINK1"/>
            <w:bookmarkStart w:id="8" w:name="OLE_LINK30"/>
            <w:bookmarkStart w:id="9" w:name="OLE_LINK31"/>
            <w:bookmarkStart w:id="10" w:name="OLE_LINK18"/>
            <w:r>
              <w:rPr>
                <w:rFonts w:ascii="ITC Avant Garde Gothic Demi" w:hAnsi="ITC Avant Garde Gothic Demi"/>
                <w:b/>
                <w:noProof/>
                <w:color w:val="365F91"/>
                <w:sz w:val="20"/>
                <w:szCs w:val="20"/>
                <w:lang w:val="en-US" w:eastAsia="en-US"/>
              </w:rPr>
              <w:drawing>
                <wp:inline distT="0" distB="0" distL="0" distR="0">
                  <wp:extent cx="966470" cy="802005"/>
                  <wp:effectExtent l="19050" t="0" r="5080" b="0"/>
                  <wp:docPr id="1" name="Image 1" descr="Logo 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U"/>
                          <pic:cNvPicPr>
                            <a:picLocks noChangeAspect="1" noChangeArrowheads="1"/>
                          </pic:cNvPicPr>
                        </pic:nvPicPr>
                        <pic:blipFill>
                          <a:blip r:embed="rId8" cstate="print"/>
                          <a:srcRect/>
                          <a:stretch>
                            <a:fillRect/>
                          </a:stretch>
                        </pic:blipFill>
                        <pic:spPr bwMode="auto">
                          <a:xfrm>
                            <a:off x="0" y="0"/>
                            <a:ext cx="966470" cy="802005"/>
                          </a:xfrm>
                          <a:prstGeom prst="rect">
                            <a:avLst/>
                          </a:prstGeom>
                          <a:noFill/>
                          <a:ln w="9525">
                            <a:noFill/>
                            <a:miter lim="800000"/>
                            <a:headEnd/>
                            <a:tailEnd/>
                          </a:ln>
                        </pic:spPr>
                      </pic:pic>
                    </a:graphicData>
                  </a:graphic>
                </wp:inline>
              </w:drawing>
            </w:r>
          </w:p>
          <w:p w:rsidR="006361AE" w:rsidRDefault="006361AE" w:rsidP="00EA17A1">
            <w:pPr>
              <w:tabs>
                <w:tab w:val="left" w:pos="5138"/>
              </w:tabs>
              <w:ind w:right="20"/>
              <w:jc w:val="center"/>
              <w:rPr>
                <w:rFonts w:ascii="ITC Avant Garde Gothic Demi" w:hAnsi="ITC Avant Garde Gothic Demi"/>
                <w:b/>
                <w:color w:val="365F91"/>
                <w:sz w:val="20"/>
                <w:szCs w:val="20"/>
              </w:rPr>
            </w:pPr>
            <w:r>
              <w:rPr>
                <w:rFonts w:ascii="ITC Avant Garde Gothic Demi" w:hAnsi="ITC Avant Garde Gothic Demi"/>
                <w:b/>
                <w:color w:val="365F91"/>
                <w:sz w:val="20"/>
                <w:szCs w:val="20"/>
              </w:rPr>
              <w:t>N</w:t>
            </w:r>
            <w:r w:rsidR="00063166">
              <w:rPr>
                <w:rFonts w:ascii="ITC Avant Garde Gothic Demi" w:hAnsi="ITC Avant Garde Gothic Demi"/>
                <w:b/>
                <w:color w:val="365F91"/>
                <w:sz w:val="20"/>
                <w:szCs w:val="20"/>
              </w:rPr>
              <w:t>ations</w:t>
            </w:r>
            <w:r>
              <w:rPr>
                <w:rFonts w:ascii="ITC Avant Garde Gothic Demi" w:hAnsi="ITC Avant Garde Gothic Demi"/>
                <w:b/>
                <w:color w:val="365F91"/>
                <w:sz w:val="20"/>
                <w:szCs w:val="20"/>
              </w:rPr>
              <w:t xml:space="preserve"> U</w:t>
            </w:r>
            <w:r w:rsidR="00063166">
              <w:rPr>
                <w:rFonts w:ascii="ITC Avant Garde Gothic Demi" w:hAnsi="ITC Avant Garde Gothic Demi"/>
                <w:b/>
                <w:color w:val="365F91"/>
                <w:sz w:val="20"/>
                <w:szCs w:val="20"/>
              </w:rPr>
              <w:t>nies</w:t>
            </w:r>
          </w:p>
          <w:p w:rsidR="006361AE" w:rsidRDefault="006361AE" w:rsidP="00EA17A1">
            <w:pPr>
              <w:tabs>
                <w:tab w:val="left" w:pos="5138"/>
              </w:tabs>
              <w:ind w:right="20"/>
              <w:jc w:val="center"/>
              <w:rPr>
                <w:rFonts w:ascii="ITC Avant Garde Gothic Demi" w:hAnsi="ITC Avant Garde Gothic Demi"/>
                <w:b/>
                <w:color w:val="365F91"/>
                <w:sz w:val="20"/>
                <w:szCs w:val="20"/>
              </w:rPr>
            </w:pPr>
            <w:r>
              <w:rPr>
                <w:rFonts w:ascii="ITC Avant Garde Gothic Demi" w:hAnsi="ITC Avant Garde Gothic Demi"/>
                <w:b/>
                <w:color w:val="365F91"/>
                <w:sz w:val="20"/>
                <w:szCs w:val="20"/>
              </w:rPr>
              <w:t>Commission économique pour l’Afrique</w:t>
            </w:r>
          </w:p>
          <w:p w:rsidR="006361AE" w:rsidRPr="00201BE9" w:rsidRDefault="006361AE" w:rsidP="00EA17A1">
            <w:pPr>
              <w:ind w:right="20"/>
              <w:jc w:val="center"/>
              <w:rPr>
                <w:rFonts w:ascii="ITC Avant Garde Gothic Demi" w:hAnsi="ITC Avant Garde Gothic Demi"/>
                <w:b/>
                <w:color w:val="365F91"/>
                <w:sz w:val="20"/>
                <w:szCs w:val="20"/>
              </w:rPr>
            </w:pPr>
            <w:r>
              <w:rPr>
                <w:rFonts w:ascii="ITC Avant Garde Gothic Demi" w:hAnsi="ITC Avant Garde Gothic Demi"/>
                <w:b/>
                <w:color w:val="365F91"/>
                <w:sz w:val="20"/>
                <w:szCs w:val="20"/>
              </w:rPr>
              <w:t>Bureau pour l’Afrique du Nord</w:t>
            </w:r>
            <w:bookmarkEnd w:id="0"/>
            <w:bookmarkEnd w:id="1"/>
          </w:p>
        </w:tc>
        <w:tc>
          <w:tcPr>
            <w:tcW w:w="5468" w:type="dxa"/>
          </w:tcPr>
          <w:p w:rsidR="006361AE" w:rsidRDefault="006361AE" w:rsidP="000341EB">
            <w:pPr>
              <w:ind w:left="3230"/>
              <w:rPr>
                <w:rFonts w:ascii="Palatino Linotype" w:hAnsi="Palatino Linotype" w:cs="Arial"/>
                <w:color w:val="365F91"/>
                <w:sz w:val="22"/>
                <w:szCs w:val="22"/>
                <w:lang w:val="en-US"/>
              </w:rPr>
            </w:pPr>
            <w:r w:rsidRPr="00FC0E77">
              <w:rPr>
                <w:rFonts w:ascii="Palatino Linotype" w:hAnsi="Palatino Linotype" w:cs="Arial"/>
                <w:color w:val="365F91"/>
                <w:sz w:val="22"/>
                <w:szCs w:val="22"/>
                <w:lang w:val="en-US"/>
              </w:rPr>
              <w:t>Distr.: GENERALE</w:t>
            </w:r>
          </w:p>
          <w:p w:rsidR="00A461FA" w:rsidRPr="00FC0E77" w:rsidRDefault="00A461FA" w:rsidP="000341EB">
            <w:pPr>
              <w:ind w:left="3230"/>
              <w:rPr>
                <w:rFonts w:ascii="Palatino Linotype" w:hAnsi="Palatino Linotype" w:cs="Arial"/>
                <w:color w:val="365F91"/>
                <w:sz w:val="22"/>
                <w:szCs w:val="22"/>
                <w:lang w:val="en-US"/>
              </w:rPr>
            </w:pPr>
          </w:p>
          <w:p w:rsidR="006361AE" w:rsidRPr="00FC0E77" w:rsidRDefault="006361AE" w:rsidP="00A461FA">
            <w:pPr>
              <w:ind w:left="3230" w:right="-182"/>
              <w:rPr>
                <w:rFonts w:ascii="Palatino Linotype" w:hAnsi="Palatino Linotype" w:cs="Arial"/>
                <w:color w:val="365F91"/>
                <w:sz w:val="22"/>
                <w:szCs w:val="22"/>
                <w:lang w:val="en-US"/>
              </w:rPr>
            </w:pPr>
            <w:r w:rsidRPr="00FC0E77">
              <w:rPr>
                <w:rFonts w:ascii="Palatino Linotype" w:hAnsi="Palatino Linotype" w:cs="Arial"/>
                <w:color w:val="365F91"/>
                <w:sz w:val="22"/>
                <w:szCs w:val="22"/>
                <w:lang w:val="en-US"/>
              </w:rPr>
              <w:t>CEA-AN/AH/</w:t>
            </w:r>
            <w:r w:rsidR="00A461FA">
              <w:rPr>
                <w:rFonts w:ascii="Palatino Linotype" w:hAnsi="Palatino Linotype" w:cs="Arial"/>
                <w:color w:val="365F91"/>
                <w:sz w:val="22"/>
                <w:szCs w:val="22"/>
                <w:lang w:val="en-US"/>
              </w:rPr>
              <w:t>IF</w:t>
            </w:r>
            <w:r w:rsidRPr="00FC0E77">
              <w:rPr>
                <w:rFonts w:ascii="Palatino Linotype" w:hAnsi="Palatino Linotype" w:cs="Arial"/>
                <w:color w:val="365F91"/>
                <w:sz w:val="22"/>
                <w:szCs w:val="22"/>
                <w:lang w:val="en-US"/>
              </w:rPr>
              <w:t>/</w:t>
            </w:r>
            <w:r w:rsidR="00EA17A1">
              <w:rPr>
                <w:rFonts w:ascii="Palatino Linotype" w:hAnsi="Palatino Linotype" w:cs="Arial"/>
                <w:color w:val="365F91"/>
                <w:sz w:val="22"/>
                <w:szCs w:val="22"/>
                <w:lang w:val="en-US"/>
              </w:rPr>
              <w:t>Inf.1</w:t>
            </w:r>
          </w:p>
          <w:p w:rsidR="006361AE" w:rsidRPr="00EA17A1" w:rsidRDefault="00EA17A1" w:rsidP="00EA17A1">
            <w:pPr>
              <w:ind w:left="3230"/>
              <w:rPr>
                <w:rFonts w:ascii="Palatino Linotype" w:hAnsi="Palatino Linotype" w:cs="Arial"/>
                <w:color w:val="365F91"/>
                <w:sz w:val="22"/>
                <w:szCs w:val="22"/>
                <w:lang w:val="en-US"/>
              </w:rPr>
            </w:pPr>
            <w:proofErr w:type="spellStart"/>
            <w:r>
              <w:rPr>
                <w:rFonts w:ascii="Palatino Linotype" w:hAnsi="Palatino Linotype" w:cs="Arial"/>
                <w:color w:val="365F91"/>
                <w:sz w:val="22"/>
                <w:szCs w:val="22"/>
                <w:lang w:val="en-US"/>
              </w:rPr>
              <w:t>Juillet</w:t>
            </w:r>
            <w:proofErr w:type="spellEnd"/>
            <w:r w:rsidR="006361AE" w:rsidRPr="00EA17A1">
              <w:rPr>
                <w:rFonts w:ascii="Palatino Linotype" w:hAnsi="Palatino Linotype" w:cs="Arial"/>
                <w:color w:val="365F91"/>
                <w:sz w:val="22"/>
                <w:szCs w:val="22"/>
                <w:lang w:val="en-US"/>
              </w:rPr>
              <w:t xml:space="preserve">  2012</w:t>
            </w:r>
          </w:p>
          <w:p w:rsidR="006361AE" w:rsidRPr="00EA17A1" w:rsidRDefault="006361AE" w:rsidP="000341EB">
            <w:pPr>
              <w:ind w:left="3230"/>
              <w:rPr>
                <w:rFonts w:ascii="Palatino Linotype" w:hAnsi="Palatino Linotype" w:cs="Arial"/>
                <w:color w:val="365F91"/>
                <w:sz w:val="22"/>
                <w:szCs w:val="22"/>
                <w:lang w:val="en-US"/>
              </w:rPr>
            </w:pPr>
          </w:p>
          <w:p w:rsidR="006361AE" w:rsidRPr="00CD139D" w:rsidRDefault="006361AE" w:rsidP="00225322">
            <w:pPr>
              <w:ind w:left="3230" w:right="-466"/>
              <w:rPr>
                <w:rFonts w:ascii="Arial" w:hAnsi="Arial" w:cs="Arial"/>
                <w:color w:val="365F91"/>
                <w:sz w:val="22"/>
                <w:szCs w:val="22"/>
              </w:rPr>
            </w:pPr>
            <w:r w:rsidRPr="00CD139D">
              <w:rPr>
                <w:rFonts w:ascii="Palatino Linotype" w:hAnsi="Palatino Linotype" w:cs="Arial"/>
                <w:color w:val="365F91"/>
                <w:sz w:val="22"/>
                <w:szCs w:val="22"/>
              </w:rPr>
              <w:t>Original: FRANÇAIS</w:t>
            </w:r>
          </w:p>
        </w:tc>
      </w:tr>
      <w:bookmarkEnd w:id="2"/>
      <w:bookmarkEnd w:id="3"/>
    </w:tbl>
    <w:p w:rsidR="00C77492" w:rsidRDefault="00C77492" w:rsidP="00201BE9">
      <w:pPr>
        <w:spacing w:before="120"/>
        <w:jc w:val="center"/>
        <w:rPr>
          <w:rFonts w:ascii="ITC Avant Garde Gothic Demi" w:hAnsi="ITC Avant Garde Gothic Demi"/>
          <w:color w:val="365F91"/>
        </w:rPr>
      </w:pPr>
    </w:p>
    <w:p w:rsidR="006361AE" w:rsidRDefault="004B0629" w:rsidP="00201BE9">
      <w:pPr>
        <w:spacing w:before="120"/>
        <w:jc w:val="center"/>
        <w:rPr>
          <w:rFonts w:ascii="ITC Avant Garde Gothic Demi" w:hAnsi="ITC Avant Garde Gothic Demi"/>
          <w:color w:val="365F91"/>
        </w:rPr>
      </w:pPr>
      <w:bookmarkStart w:id="11" w:name="OLE_LINK16"/>
      <w:bookmarkStart w:id="12" w:name="OLE_LINK17"/>
      <w:r>
        <w:rPr>
          <w:rFonts w:ascii="ITC Avant Garde Gothic Demi" w:hAnsi="ITC Avant Garde Gothic Demi"/>
          <w:color w:val="365F91"/>
        </w:rPr>
        <w:t>Réunion d’experts</w:t>
      </w:r>
    </w:p>
    <w:p w:rsidR="006361AE" w:rsidRDefault="006361AE" w:rsidP="006361AE">
      <w:pPr>
        <w:jc w:val="center"/>
        <w:rPr>
          <w:rFonts w:ascii="ITC Avant Garde Gothic Demi" w:hAnsi="ITC Avant Garde Gothic Demi"/>
          <w:color w:val="FF6600"/>
          <w:sz w:val="10"/>
          <w:szCs w:val="10"/>
        </w:rPr>
      </w:pPr>
    </w:p>
    <w:p w:rsidR="006361AE" w:rsidRPr="004B0629" w:rsidRDefault="004B0629" w:rsidP="00EA17A1">
      <w:pPr>
        <w:jc w:val="center"/>
        <w:rPr>
          <w:rFonts w:ascii="ITC Avant Garde Gothic Demi" w:hAnsi="ITC Avant Garde Gothic Demi"/>
          <w:b/>
          <w:bCs/>
          <w:color w:val="CC6600"/>
        </w:rPr>
      </w:pPr>
      <w:bookmarkStart w:id="13" w:name="OLE_LINK14"/>
      <w:bookmarkStart w:id="14" w:name="OLE_LINK15"/>
      <w:r w:rsidRPr="004B0629">
        <w:rPr>
          <w:rFonts w:ascii="ITC Avant Garde Gothic Demi" w:hAnsi="ITC Avant Garde Gothic Demi"/>
          <w:b/>
          <w:bCs/>
          <w:color w:val="CC6600"/>
        </w:rPr>
        <w:t>« </w:t>
      </w:r>
      <w:r w:rsidR="00605487">
        <w:rPr>
          <w:rFonts w:ascii="ITC Avant Garde Gothic Demi" w:hAnsi="ITC Avant Garde Gothic Demi"/>
          <w:b/>
          <w:bCs/>
          <w:color w:val="CC6600"/>
        </w:rPr>
        <w:t>I</w:t>
      </w:r>
      <w:r w:rsidR="006361AE" w:rsidRPr="004B0629">
        <w:rPr>
          <w:rFonts w:ascii="ITC Avant Garde Gothic Demi" w:hAnsi="ITC Avant Garde Gothic Demi"/>
          <w:b/>
          <w:bCs/>
          <w:color w:val="CC6600"/>
        </w:rPr>
        <w:t>ntégration financière et gouvernance régionale en Afrique du Nord</w:t>
      </w:r>
      <w:r w:rsidRPr="004B0629">
        <w:rPr>
          <w:rFonts w:ascii="ITC Avant Garde Gothic Demi" w:hAnsi="ITC Avant Garde Gothic Demi"/>
          <w:b/>
          <w:bCs/>
          <w:color w:val="CC6600"/>
        </w:rPr>
        <w:t> »</w:t>
      </w:r>
    </w:p>
    <w:p w:rsidR="006361AE" w:rsidRDefault="006361AE" w:rsidP="006361AE">
      <w:pPr>
        <w:jc w:val="center"/>
        <w:rPr>
          <w:rFonts w:ascii="Cambria" w:hAnsi="Cambria"/>
          <w:color w:val="FF6600"/>
          <w:sz w:val="14"/>
          <w:szCs w:val="14"/>
        </w:rPr>
      </w:pPr>
    </w:p>
    <w:p w:rsidR="00EA17A1" w:rsidRDefault="006361AE" w:rsidP="00EA17A1">
      <w:pPr>
        <w:jc w:val="center"/>
        <w:rPr>
          <w:rFonts w:ascii="ITC Avant Garde Gothic Demi" w:hAnsi="ITC Avant Garde Gothic Demi"/>
          <w:b/>
          <w:bCs/>
          <w:color w:val="365F91"/>
        </w:rPr>
      </w:pPr>
      <w:r>
        <w:rPr>
          <w:rFonts w:ascii="ITC Avant Garde Gothic Demi" w:hAnsi="ITC Avant Garde Gothic Demi"/>
          <w:b/>
          <w:bCs/>
          <w:color w:val="365F91"/>
        </w:rPr>
        <w:t>3-4 juillet 2012</w:t>
      </w:r>
    </w:p>
    <w:p w:rsidR="006361AE" w:rsidRDefault="004B0629" w:rsidP="00EA17A1">
      <w:pPr>
        <w:jc w:val="center"/>
        <w:rPr>
          <w:rFonts w:ascii="ITC Avant Garde Gothic Demi" w:hAnsi="ITC Avant Garde Gothic Demi"/>
          <w:b/>
          <w:bCs/>
          <w:color w:val="365F91"/>
        </w:rPr>
      </w:pPr>
      <w:r>
        <w:rPr>
          <w:rFonts w:ascii="ITC Avant Garde Gothic Demi" w:hAnsi="ITC Avant Garde Gothic Demi"/>
          <w:b/>
          <w:bCs/>
          <w:color w:val="365F91"/>
        </w:rPr>
        <w:t>Casablanca, Maroc</w:t>
      </w:r>
    </w:p>
    <w:bookmarkEnd w:id="4"/>
    <w:bookmarkEnd w:id="5"/>
    <w:bookmarkEnd w:id="11"/>
    <w:bookmarkEnd w:id="12"/>
    <w:bookmarkEnd w:id="13"/>
    <w:bookmarkEnd w:id="14"/>
    <w:p w:rsidR="006361AE" w:rsidRDefault="006361AE" w:rsidP="006361AE">
      <w:pPr>
        <w:jc w:val="center"/>
        <w:rPr>
          <w:sz w:val="18"/>
          <w:szCs w:val="18"/>
        </w:rPr>
      </w:pPr>
    </w:p>
    <w:p w:rsidR="00C77492" w:rsidRDefault="00C77492" w:rsidP="006361AE">
      <w:pPr>
        <w:pBdr>
          <w:bottom w:val="single" w:sz="4" w:space="1" w:color="365F91"/>
        </w:pBdr>
        <w:jc w:val="center"/>
      </w:pPr>
    </w:p>
    <w:p w:rsidR="004B0629" w:rsidRPr="004B0629" w:rsidRDefault="004B0629" w:rsidP="004B0629">
      <w:pPr>
        <w:jc w:val="center"/>
        <w:rPr>
          <w:rFonts w:ascii="ITC Avant Garde Gothic Demi" w:hAnsi="ITC Avant Garde Gothic Demi" w:cs="Arial"/>
          <w:color w:val="365F91"/>
          <w:sz w:val="16"/>
          <w:szCs w:val="16"/>
        </w:rPr>
      </w:pPr>
    </w:p>
    <w:p w:rsidR="004B0629" w:rsidRPr="004B0629" w:rsidRDefault="004B0629" w:rsidP="004B0629">
      <w:pPr>
        <w:jc w:val="center"/>
        <w:rPr>
          <w:rFonts w:ascii="ITC Avant Garde Gothic Demi" w:hAnsi="ITC Avant Garde Gothic Demi" w:cs="Arial"/>
          <w:color w:val="365F91"/>
          <w:sz w:val="40"/>
          <w:szCs w:val="40"/>
        </w:rPr>
      </w:pPr>
      <w:r w:rsidRPr="004B0629">
        <w:rPr>
          <w:rFonts w:ascii="ITC Avant Garde Gothic Demi" w:hAnsi="ITC Avant Garde Gothic Demi" w:cs="Arial"/>
          <w:color w:val="365F91"/>
          <w:sz w:val="40"/>
          <w:szCs w:val="40"/>
        </w:rPr>
        <w:t xml:space="preserve">Aide – mémoire </w:t>
      </w:r>
    </w:p>
    <w:p w:rsidR="006361AE" w:rsidRDefault="006361AE" w:rsidP="006361AE">
      <w:pPr>
        <w:pBdr>
          <w:bottom w:val="single" w:sz="4" w:space="1" w:color="365F91"/>
        </w:pBdr>
        <w:rPr>
          <w:sz w:val="12"/>
          <w:szCs w:val="12"/>
        </w:rPr>
      </w:pPr>
    </w:p>
    <w:p w:rsidR="006361AE" w:rsidRDefault="006361AE" w:rsidP="006361AE">
      <w:pPr>
        <w:pBdr>
          <w:bottom w:val="single" w:sz="4" w:space="1" w:color="365F91"/>
        </w:pBdr>
        <w:rPr>
          <w:sz w:val="12"/>
          <w:szCs w:val="12"/>
        </w:rPr>
      </w:pPr>
    </w:p>
    <w:p w:rsidR="006361AE" w:rsidRDefault="006361AE" w:rsidP="006361AE">
      <w:pPr>
        <w:jc w:val="center"/>
        <w:rPr>
          <w:rFonts w:ascii="Cambria" w:hAnsi="Cambria"/>
          <w:color w:val="FF6600"/>
          <w:sz w:val="28"/>
          <w:szCs w:val="28"/>
        </w:rPr>
      </w:pPr>
    </w:p>
    <w:p w:rsidR="006361AE" w:rsidRDefault="006361AE" w:rsidP="00705FA6">
      <w:pPr>
        <w:pStyle w:val="NormalWeb"/>
        <w:spacing w:before="0" w:beforeAutospacing="0" w:after="0" w:afterAutospacing="0"/>
        <w:ind w:firstLine="708"/>
        <w:rPr>
          <w:rFonts w:ascii="Arial" w:hAnsi="Arial" w:cs="Arial"/>
          <w:b/>
          <w:bCs/>
          <w:sz w:val="16"/>
          <w:szCs w:val="16"/>
        </w:rPr>
      </w:pPr>
    </w:p>
    <w:bookmarkEnd w:id="6"/>
    <w:bookmarkEnd w:id="7"/>
    <w:p w:rsidR="00D75359" w:rsidRPr="004B0629" w:rsidRDefault="001C6E9E" w:rsidP="004B0629">
      <w:pPr>
        <w:pStyle w:val="NormalWeb"/>
        <w:spacing w:before="0" w:beforeAutospacing="0" w:after="0" w:afterAutospacing="0"/>
        <w:jc w:val="both"/>
        <w:rPr>
          <w:rFonts w:ascii="ITC Avant Garde Gothic Demi" w:hAnsi="ITC Avant Garde Gothic Demi" w:cs="Arial"/>
          <w:b/>
          <w:bCs/>
          <w:color w:val="CC6600"/>
          <w:sz w:val="28"/>
          <w:szCs w:val="28"/>
        </w:rPr>
      </w:pPr>
      <w:r w:rsidRPr="004B0629">
        <w:rPr>
          <w:rFonts w:ascii="ITC Avant Garde Gothic Demi" w:hAnsi="ITC Avant Garde Gothic Demi" w:cs="Arial"/>
          <w:b/>
          <w:bCs/>
          <w:color w:val="CC6600"/>
          <w:sz w:val="28"/>
          <w:szCs w:val="28"/>
        </w:rPr>
        <w:t xml:space="preserve">Contexte </w:t>
      </w:r>
      <w:r w:rsidR="00B61431" w:rsidRPr="004B0629">
        <w:rPr>
          <w:rFonts w:ascii="ITC Avant Garde Gothic Demi" w:hAnsi="ITC Avant Garde Gothic Demi" w:cs="Arial"/>
          <w:b/>
          <w:bCs/>
          <w:color w:val="CC6600"/>
          <w:sz w:val="28"/>
          <w:szCs w:val="28"/>
        </w:rPr>
        <w:t>et justification</w:t>
      </w:r>
    </w:p>
    <w:bookmarkEnd w:id="8"/>
    <w:bookmarkEnd w:id="9"/>
    <w:bookmarkEnd w:id="10"/>
    <w:p w:rsidR="00D75359" w:rsidRPr="00D52713" w:rsidRDefault="00D75359" w:rsidP="00D52713">
      <w:pPr>
        <w:spacing w:line="276" w:lineRule="auto"/>
        <w:jc w:val="both"/>
      </w:pPr>
    </w:p>
    <w:p w:rsidR="005F3784" w:rsidRPr="004B0629" w:rsidRDefault="0003567F" w:rsidP="004B0629">
      <w:pPr>
        <w:jc w:val="both"/>
        <w:outlineLvl w:val="2"/>
        <w:rPr>
          <w:rFonts w:ascii="Palatino Linotype" w:hAnsi="Palatino Linotype"/>
          <w:sz w:val="22"/>
          <w:szCs w:val="22"/>
        </w:rPr>
      </w:pPr>
      <w:r w:rsidRPr="004B0629">
        <w:rPr>
          <w:rFonts w:ascii="Palatino Linotype" w:hAnsi="Palatino Linotype"/>
          <w:sz w:val="22"/>
          <w:szCs w:val="22"/>
        </w:rPr>
        <w:t xml:space="preserve">Les crises financière et économique de ces dernières années ont révélé ou confirmé deux caractéristiques importantes de l’Afrique du Nord.  </w:t>
      </w:r>
      <w:r w:rsidR="00A72D60" w:rsidRPr="004B0629">
        <w:rPr>
          <w:rFonts w:ascii="Palatino Linotype" w:hAnsi="Palatino Linotype"/>
          <w:sz w:val="22"/>
          <w:szCs w:val="22"/>
        </w:rPr>
        <w:t>La première est que sa faible intégration aux marchés financiers mondiaux s’est révélée être un</w:t>
      </w:r>
      <w:r w:rsidR="00F13A13" w:rsidRPr="004B0629">
        <w:rPr>
          <w:rFonts w:ascii="Palatino Linotype" w:hAnsi="Palatino Linotype"/>
          <w:sz w:val="22"/>
          <w:szCs w:val="22"/>
        </w:rPr>
        <w:t>e protection</w:t>
      </w:r>
      <w:r w:rsidR="00A72D60" w:rsidRPr="004B0629">
        <w:rPr>
          <w:rFonts w:ascii="Palatino Linotype" w:hAnsi="Palatino Linotype"/>
          <w:sz w:val="22"/>
          <w:szCs w:val="22"/>
        </w:rPr>
        <w:t xml:space="preserve"> </w:t>
      </w:r>
      <w:r w:rsidRPr="004B0629">
        <w:rPr>
          <w:rFonts w:ascii="Palatino Linotype" w:hAnsi="Palatino Linotype"/>
          <w:sz w:val="22"/>
          <w:szCs w:val="22"/>
        </w:rPr>
        <w:t xml:space="preserve"> </w:t>
      </w:r>
      <w:r w:rsidR="00A72D60" w:rsidRPr="004B0629">
        <w:rPr>
          <w:rFonts w:ascii="Palatino Linotype" w:hAnsi="Palatino Linotype"/>
          <w:sz w:val="22"/>
          <w:szCs w:val="22"/>
        </w:rPr>
        <w:t>qui a limité la contagion directe de son système financier par les produits toxique à l’origine de la crise. La deuxième caractéristique de la sous région est la faiblesse de</w:t>
      </w:r>
      <w:r w:rsidR="00571087" w:rsidRPr="004B0629">
        <w:rPr>
          <w:rFonts w:ascii="Palatino Linotype" w:hAnsi="Palatino Linotype"/>
          <w:sz w:val="22"/>
          <w:szCs w:val="22"/>
        </w:rPr>
        <w:t xml:space="preserve"> son intégration économique et à</w:t>
      </w:r>
      <w:r w:rsidR="00A72D60" w:rsidRPr="004B0629">
        <w:rPr>
          <w:rFonts w:ascii="Palatino Linotype" w:hAnsi="Palatino Linotype"/>
          <w:sz w:val="22"/>
          <w:szCs w:val="22"/>
        </w:rPr>
        <w:t xml:space="preserve"> fortiori </w:t>
      </w:r>
      <w:r w:rsidR="00F13A13" w:rsidRPr="004B0629">
        <w:rPr>
          <w:rFonts w:ascii="Palatino Linotype" w:hAnsi="Palatino Linotype"/>
          <w:sz w:val="22"/>
          <w:szCs w:val="22"/>
        </w:rPr>
        <w:t xml:space="preserve">de </w:t>
      </w:r>
      <w:r w:rsidR="00A72D60" w:rsidRPr="004B0629">
        <w:rPr>
          <w:rFonts w:ascii="Palatino Linotype" w:hAnsi="Palatino Linotype"/>
          <w:sz w:val="22"/>
          <w:szCs w:val="22"/>
        </w:rPr>
        <w:t>son intégration financière</w:t>
      </w:r>
      <w:r w:rsidR="00F13A13" w:rsidRPr="004B0629">
        <w:rPr>
          <w:rFonts w:ascii="Palatino Linotype" w:hAnsi="Palatino Linotype"/>
          <w:sz w:val="22"/>
          <w:szCs w:val="22"/>
        </w:rPr>
        <w:t>,</w:t>
      </w:r>
      <w:r w:rsidR="00A72D60" w:rsidRPr="004B0629">
        <w:rPr>
          <w:rFonts w:ascii="Palatino Linotype" w:hAnsi="Palatino Linotype"/>
          <w:sz w:val="22"/>
          <w:szCs w:val="22"/>
        </w:rPr>
        <w:t xml:space="preserve"> qui n’a pas permis la mise en œuvre d’interventions coordonnée face aux impacts de la crise financière et de la crise économique qu’elle a générée plus tard.  </w:t>
      </w:r>
    </w:p>
    <w:p w:rsidR="00180564" w:rsidRPr="00D52713" w:rsidRDefault="00180564" w:rsidP="00180564">
      <w:pPr>
        <w:autoSpaceDE w:val="0"/>
        <w:autoSpaceDN w:val="0"/>
        <w:adjustRightInd w:val="0"/>
        <w:jc w:val="both"/>
      </w:pPr>
    </w:p>
    <w:p w:rsidR="000341EB" w:rsidRDefault="00571087" w:rsidP="003A35BD">
      <w:pPr>
        <w:autoSpaceDE w:val="0"/>
        <w:autoSpaceDN w:val="0"/>
        <w:adjustRightInd w:val="0"/>
        <w:jc w:val="both"/>
        <w:rPr>
          <w:rFonts w:ascii="Palatino Linotype" w:hAnsi="Palatino Linotype"/>
          <w:sz w:val="22"/>
          <w:szCs w:val="22"/>
        </w:rPr>
        <w:sectPr w:rsidR="000341EB" w:rsidSect="00933696">
          <w:headerReference w:type="default" r:id="rId9"/>
          <w:footerReference w:type="even" r:id="rId10"/>
          <w:footerReference w:type="default" r:id="rId11"/>
          <w:footerReference w:type="first" r:id="rId12"/>
          <w:pgSz w:w="11906" w:h="16838"/>
          <w:pgMar w:top="1134" w:right="1134" w:bottom="284" w:left="1134" w:header="284" w:footer="539" w:gutter="0"/>
          <w:cols w:space="708"/>
          <w:titlePg/>
          <w:docGrid w:linePitch="360"/>
        </w:sectPr>
      </w:pPr>
      <w:r w:rsidRPr="009E4B29">
        <w:rPr>
          <w:rFonts w:ascii="Palatino Linotype" w:hAnsi="Palatino Linotype"/>
          <w:sz w:val="22"/>
          <w:szCs w:val="22"/>
        </w:rPr>
        <w:t>E</w:t>
      </w:r>
      <w:r w:rsidR="006151FC" w:rsidRPr="009E4B29">
        <w:rPr>
          <w:rFonts w:ascii="Palatino Linotype" w:hAnsi="Palatino Linotype"/>
          <w:sz w:val="22"/>
          <w:szCs w:val="22"/>
        </w:rPr>
        <w:t>n 2010, l’A</w:t>
      </w:r>
      <w:r w:rsidR="00A72D60" w:rsidRPr="009E4B29">
        <w:rPr>
          <w:rFonts w:ascii="Palatino Linotype" w:hAnsi="Palatino Linotype"/>
          <w:sz w:val="22"/>
          <w:szCs w:val="22"/>
        </w:rPr>
        <w:t>ssociation des Banque</w:t>
      </w:r>
      <w:r w:rsidRPr="009E4B29">
        <w:rPr>
          <w:rFonts w:ascii="Palatino Linotype" w:hAnsi="Palatino Linotype"/>
          <w:sz w:val="22"/>
          <w:szCs w:val="22"/>
        </w:rPr>
        <w:t>s</w:t>
      </w:r>
      <w:r w:rsidR="00A72D60" w:rsidRPr="009E4B29">
        <w:rPr>
          <w:rFonts w:ascii="Palatino Linotype" w:hAnsi="Palatino Linotype"/>
          <w:sz w:val="22"/>
          <w:szCs w:val="22"/>
        </w:rPr>
        <w:t xml:space="preserve"> Centrale</w:t>
      </w:r>
      <w:r w:rsidRPr="009E4B29">
        <w:rPr>
          <w:rFonts w:ascii="Palatino Linotype" w:hAnsi="Palatino Linotype"/>
          <w:sz w:val="22"/>
          <w:szCs w:val="22"/>
        </w:rPr>
        <w:t>s</w:t>
      </w:r>
      <w:r w:rsidR="00A72D60" w:rsidRPr="009E4B29">
        <w:rPr>
          <w:rFonts w:ascii="Palatino Linotype" w:hAnsi="Palatino Linotype"/>
          <w:sz w:val="22"/>
          <w:szCs w:val="22"/>
        </w:rPr>
        <w:t xml:space="preserve"> Africaine</w:t>
      </w:r>
      <w:r w:rsidRPr="009E4B29">
        <w:rPr>
          <w:rFonts w:ascii="Palatino Linotype" w:hAnsi="Palatino Linotype"/>
          <w:sz w:val="22"/>
          <w:szCs w:val="22"/>
        </w:rPr>
        <w:t>s</w:t>
      </w:r>
      <w:r w:rsidR="00A72D60" w:rsidRPr="009E4B29">
        <w:rPr>
          <w:rFonts w:ascii="Palatino Linotype" w:hAnsi="Palatino Linotype"/>
          <w:sz w:val="22"/>
          <w:szCs w:val="22"/>
        </w:rPr>
        <w:t xml:space="preserve"> a estimé que l’une des principales leçons que l’Afrique devrait tirer de la crise </w:t>
      </w:r>
      <w:r w:rsidR="00794D71" w:rsidRPr="009E4B29">
        <w:rPr>
          <w:rFonts w:ascii="Palatino Linotype" w:hAnsi="Palatino Linotype"/>
          <w:sz w:val="22"/>
          <w:szCs w:val="22"/>
        </w:rPr>
        <w:t>financière</w:t>
      </w:r>
      <w:r w:rsidR="007551C2" w:rsidRPr="009E4B29">
        <w:rPr>
          <w:rFonts w:ascii="Palatino Linotype" w:hAnsi="Palatino Linotype"/>
          <w:sz w:val="22"/>
          <w:szCs w:val="22"/>
        </w:rPr>
        <w:t xml:space="preserve"> </w:t>
      </w:r>
      <w:r w:rsidR="00794D71" w:rsidRPr="009E4B29">
        <w:rPr>
          <w:rFonts w:ascii="Palatino Linotype" w:hAnsi="Palatino Linotype"/>
          <w:sz w:val="22"/>
          <w:szCs w:val="22"/>
        </w:rPr>
        <w:t>internationale est qu’il est devenu urgent de mettre en place des mécanismes de prévention et de coordination des réponses. Si ceci est vrai pour l’Afrique</w:t>
      </w:r>
      <w:r w:rsidR="00F13A13" w:rsidRPr="009E4B29">
        <w:rPr>
          <w:rFonts w:ascii="Palatino Linotype" w:hAnsi="Palatino Linotype"/>
          <w:sz w:val="22"/>
          <w:szCs w:val="22"/>
        </w:rPr>
        <w:t xml:space="preserve"> dans son ensemble</w:t>
      </w:r>
      <w:r w:rsidR="00794D71" w:rsidRPr="009E4B29">
        <w:rPr>
          <w:rFonts w:ascii="Palatino Linotype" w:hAnsi="Palatino Linotype"/>
          <w:sz w:val="22"/>
          <w:szCs w:val="22"/>
        </w:rPr>
        <w:t xml:space="preserve">, il est </w:t>
      </w:r>
      <w:r w:rsidR="00FF619C" w:rsidRPr="009E4B29">
        <w:rPr>
          <w:rFonts w:ascii="Palatino Linotype" w:hAnsi="Palatino Linotype"/>
          <w:sz w:val="22"/>
          <w:szCs w:val="22"/>
        </w:rPr>
        <w:t xml:space="preserve">préalablement </w:t>
      </w:r>
      <w:r w:rsidR="00794D71" w:rsidRPr="009E4B29">
        <w:rPr>
          <w:rFonts w:ascii="Palatino Linotype" w:hAnsi="Palatino Linotype"/>
          <w:sz w:val="22"/>
          <w:szCs w:val="22"/>
        </w:rPr>
        <w:t>vrai pour les différentes sous régions</w:t>
      </w:r>
      <w:r w:rsidR="00FF619C" w:rsidRPr="009E4B29">
        <w:rPr>
          <w:rFonts w:ascii="Palatino Linotype" w:hAnsi="Palatino Linotype"/>
          <w:sz w:val="22"/>
          <w:szCs w:val="22"/>
        </w:rPr>
        <w:t>,</w:t>
      </w:r>
      <w:r w:rsidR="00794D71" w:rsidRPr="009E4B29">
        <w:rPr>
          <w:rFonts w:ascii="Palatino Linotype" w:hAnsi="Palatino Linotype"/>
          <w:sz w:val="22"/>
          <w:szCs w:val="22"/>
        </w:rPr>
        <w:t xml:space="preserve"> qui ont toutes adhéré à l’idée que l’intégration régionale est </w:t>
      </w:r>
      <w:r w:rsidR="004520FA" w:rsidRPr="009E4B29">
        <w:rPr>
          <w:rFonts w:ascii="Palatino Linotype" w:hAnsi="Palatino Linotype"/>
          <w:sz w:val="22"/>
          <w:szCs w:val="22"/>
        </w:rPr>
        <w:t>porteuse</w:t>
      </w:r>
      <w:r w:rsidR="00794D71" w:rsidRPr="009E4B29">
        <w:rPr>
          <w:rFonts w:ascii="Palatino Linotype" w:hAnsi="Palatino Linotype"/>
          <w:sz w:val="22"/>
          <w:szCs w:val="22"/>
        </w:rPr>
        <w:t xml:space="preserve"> de développement et que l’intégration africaine n’est finalement que l’aboutissement d’une série de processus</w:t>
      </w:r>
      <w:r w:rsidR="007551C2" w:rsidRPr="009E4B29">
        <w:rPr>
          <w:rFonts w:ascii="Palatino Linotype" w:hAnsi="Palatino Linotype"/>
          <w:sz w:val="22"/>
          <w:szCs w:val="22"/>
        </w:rPr>
        <w:t xml:space="preserve"> </w:t>
      </w:r>
      <w:r w:rsidR="00794D71" w:rsidRPr="009E4B29">
        <w:rPr>
          <w:rFonts w:ascii="Palatino Linotype" w:hAnsi="Palatino Linotype"/>
          <w:sz w:val="22"/>
          <w:szCs w:val="22"/>
        </w:rPr>
        <w:t>sous régionaux.</w:t>
      </w:r>
      <w:r w:rsidR="00BC5A49" w:rsidRPr="009E4B29">
        <w:rPr>
          <w:rFonts w:ascii="Palatino Linotype" w:hAnsi="Palatino Linotype"/>
          <w:sz w:val="22"/>
          <w:szCs w:val="22"/>
        </w:rPr>
        <w:t xml:space="preserve"> L</w:t>
      </w:r>
      <w:r w:rsidR="00FF619C" w:rsidRPr="009E4B29">
        <w:rPr>
          <w:rFonts w:ascii="Palatino Linotype" w:hAnsi="Palatino Linotype"/>
          <w:sz w:val="22"/>
          <w:szCs w:val="22"/>
        </w:rPr>
        <w:t xml:space="preserve">a nécessité </w:t>
      </w:r>
      <w:r w:rsidR="00BC5A49" w:rsidRPr="009E4B29">
        <w:rPr>
          <w:rFonts w:ascii="Palatino Linotype" w:hAnsi="Palatino Linotype"/>
          <w:sz w:val="22"/>
          <w:szCs w:val="22"/>
        </w:rPr>
        <w:t>de réaction coordonnée des pays d’Afrique du Nord face aux chocs externes, qu’il soit réel</w:t>
      </w:r>
      <w:r w:rsidR="00FF619C" w:rsidRPr="009E4B29">
        <w:rPr>
          <w:rFonts w:ascii="Palatino Linotype" w:hAnsi="Palatino Linotype"/>
          <w:sz w:val="22"/>
          <w:szCs w:val="22"/>
        </w:rPr>
        <w:t>s</w:t>
      </w:r>
      <w:r w:rsidR="00BC5A49" w:rsidRPr="009E4B29">
        <w:rPr>
          <w:rFonts w:ascii="Palatino Linotype" w:hAnsi="Palatino Linotype"/>
          <w:sz w:val="22"/>
          <w:szCs w:val="22"/>
        </w:rPr>
        <w:t xml:space="preserve"> ou monétaire</w:t>
      </w:r>
      <w:r w:rsidR="00FF619C" w:rsidRPr="009E4B29">
        <w:rPr>
          <w:rFonts w:ascii="Palatino Linotype" w:hAnsi="Palatino Linotype"/>
          <w:sz w:val="22"/>
          <w:szCs w:val="22"/>
        </w:rPr>
        <w:t>s</w:t>
      </w:r>
      <w:r w:rsidR="00BC5A49" w:rsidRPr="009E4B29">
        <w:rPr>
          <w:rFonts w:ascii="Palatino Linotype" w:hAnsi="Palatino Linotype"/>
          <w:sz w:val="22"/>
          <w:szCs w:val="22"/>
        </w:rPr>
        <w:t xml:space="preserve"> renvoie à la question de l’intégration avec tout ce qu’elle comporte d’harmonisation de règles et pratiques et de mise en place d’institutions de gouvernance régionale. </w:t>
      </w:r>
    </w:p>
    <w:p w:rsidR="00A72D60" w:rsidRPr="009E4B29" w:rsidRDefault="00A72D60" w:rsidP="003A35BD">
      <w:pPr>
        <w:autoSpaceDE w:val="0"/>
        <w:autoSpaceDN w:val="0"/>
        <w:adjustRightInd w:val="0"/>
        <w:jc w:val="both"/>
        <w:rPr>
          <w:rFonts w:ascii="Palatino Linotype" w:hAnsi="Palatino Linotype"/>
          <w:sz w:val="22"/>
          <w:szCs w:val="22"/>
        </w:rPr>
      </w:pPr>
    </w:p>
    <w:p w:rsidR="00C77492" w:rsidRDefault="00B558A7" w:rsidP="00933696">
      <w:pPr>
        <w:autoSpaceDE w:val="0"/>
        <w:autoSpaceDN w:val="0"/>
        <w:adjustRightInd w:val="0"/>
        <w:jc w:val="both"/>
        <w:rPr>
          <w:rFonts w:ascii="Palatino Linotype" w:hAnsi="Palatino Linotype"/>
          <w:sz w:val="22"/>
          <w:szCs w:val="22"/>
          <w:lang w:eastAsia="en-US"/>
        </w:rPr>
      </w:pPr>
      <w:r w:rsidRPr="009E4B29">
        <w:rPr>
          <w:rFonts w:ascii="Palatino Linotype" w:hAnsi="Palatino Linotype"/>
          <w:sz w:val="22"/>
          <w:szCs w:val="22"/>
        </w:rPr>
        <w:t>Dans les faits, l</w:t>
      </w:r>
      <w:r w:rsidR="009F2DF5" w:rsidRPr="009E4B29">
        <w:rPr>
          <w:rFonts w:ascii="Palatino Linotype" w:hAnsi="Palatino Linotype"/>
          <w:sz w:val="22"/>
          <w:szCs w:val="22"/>
          <w:lang w:eastAsia="en-US"/>
        </w:rPr>
        <w:t>’Afrique du Nord est engagée depuis la fin des années 80 dans la dynamique du régionalisme, avec notamment l’Union du Maghreb Arabe (UMA) qui regroupe cinq pays (l’Algérie, la Libye, le Maroc, la Mauritanie et la Tunisie). Entre autres objectifs, le traité instituant l’UMA prévoit en ses articles 2 et 3 la recherche d’une « …politique commune dans différents domaines», «…la libre circulation des personnes, des services, des</w:t>
      </w:r>
      <w:r w:rsidR="00933696">
        <w:rPr>
          <w:rFonts w:ascii="Palatino Linotype" w:hAnsi="Palatino Linotype"/>
          <w:sz w:val="22"/>
          <w:szCs w:val="22"/>
          <w:lang w:eastAsia="en-US"/>
        </w:rPr>
        <w:t xml:space="preserve"> marchandises et des capitaux», </w:t>
      </w:r>
      <w:r w:rsidR="009F2DF5" w:rsidRPr="009E4B29">
        <w:rPr>
          <w:rFonts w:ascii="Palatino Linotype" w:hAnsi="Palatino Linotype"/>
          <w:sz w:val="22"/>
          <w:szCs w:val="22"/>
          <w:lang w:eastAsia="en-US"/>
        </w:rPr>
        <w:t xml:space="preserve">« …la réalisation du développement industriel, agricole, commercial, social des Etats membres et la réunion des moyens nécessaires à cet effet, notamment en mettant sur pied des projets communs et en élaborant des programmes globaux et sectoriels ». Plusieurs Etats de la sous-région sont par </w:t>
      </w:r>
      <w:r w:rsidR="009F2DF5" w:rsidRPr="009E4B29">
        <w:rPr>
          <w:rFonts w:ascii="Palatino Linotype" w:hAnsi="Palatino Linotype"/>
          <w:sz w:val="22"/>
          <w:szCs w:val="22"/>
          <w:lang w:eastAsia="en-US"/>
        </w:rPr>
        <w:lastRenderedPageBreak/>
        <w:t xml:space="preserve">ailleurs parties prenantes à d’autres communautés économiques régionales qui poursuivent des objectifs similaires : CEN-SAD (Libye, </w:t>
      </w:r>
      <w:r w:rsidR="007252E8" w:rsidRPr="009E4B29">
        <w:rPr>
          <w:rFonts w:ascii="Palatino Linotype" w:hAnsi="Palatino Linotype"/>
          <w:sz w:val="22"/>
          <w:szCs w:val="22"/>
          <w:lang w:eastAsia="en-US"/>
        </w:rPr>
        <w:t xml:space="preserve">Maroc, Mauritanie, </w:t>
      </w:r>
      <w:r w:rsidR="009F2DF5" w:rsidRPr="009E4B29">
        <w:rPr>
          <w:rFonts w:ascii="Palatino Linotype" w:hAnsi="Palatino Linotype"/>
          <w:sz w:val="22"/>
          <w:szCs w:val="22"/>
          <w:lang w:eastAsia="en-US"/>
        </w:rPr>
        <w:t>Tunisie</w:t>
      </w:r>
      <w:r w:rsidR="007252E8" w:rsidRPr="009E4B29">
        <w:rPr>
          <w:rFonts w:ascii="Palatino Linotype" w:hAnsi="Palatino Linotype"/>
          <w:sz w:val="22"/>
          <w:szCs w:val="22"/>
          <w:lang w:eastAsia="en-US"/>
        </w:rPr>
        <w:t>)</w:t>
      </w:r>
      <w:r w:rsidR="009F2DF5" w:rsidRPr="009E4B29">
        <w:rPr>
          <w:rFonts w:ascii="Palatino Linotype" w:hAnsi="Palatino Linotype"/>
          <w:sz w:val="22"/>
          <w:szCs w:val="22"/>
          <w:lang w:eastAsia="en-US"/>
        </w:rPr>
        <w:t xml:space="preserve"> COMESA (Egypte, </w:t>
      </w:r>
      <w:r w:rsidR="007252E8" w:rsidRPr="009E4B29">
        <w:rPr>
          <w:rFonts w:ascii="Palatino Linotype" w:hAnsi="Palatino Linotype"/>
          <w:sz w:val="22"/>
          <w:szCs w:val="22"/>
          <w:lang w:eastAsia="en-US"/>
        </w:rPr>
        <w:t xml:space="preserve">Libye, </w:t>
      </w:r>
      <w:r w:rsidR="009F2DF5" w:rsidRPr="009E4B29">
        <w:rPr>
          <w:rFonts w:ascii="Palatino Linotype" w:hAnsi="Palatino Linotype"/>
          <w:sz w:val="22"/>
          <w:szCs w:val="22"/>
          <w:lang w:eastAsia="en-US"/>
        </w:rPr>
        <w:t>Soudan), IGAD (Soudan).</w:t>
      </w:r>
    </w:p>
    <w:p w:rsidR="00C77492" w:rsidRDefault="00C77492" w:rsidP="00C77492">
      <w:pPr>
        <w:autoSpaceDE w:val="0"/>
        <w:autoSpaceDN w:val="0"/>
        <w:adjustRightInd w:val="0"/>
        <w:jc w:val="both"/>
        <w:rPr>
          <w:rFonts w:ascii="Palatino Linotype" w:hAnsi="Palatino Linotype"/>
          <w:sz w:val="22"/>
          <w:szCs w:val="22"/>
          <w:lang w:eastAsia="en-US"/>
        </w:rPr>
      </w:pPr>
    </w:p>
    <w:p w:rsidR="00823E6A" w:rsidRPr="009E4B29" w:rsidRDefault="00B558A7" w:rsidP="00C77492">
      <w:pPr>
        <w:autoSpaceDE w:val="0"/>
        <w:autoSpaceDN w:val="0"/>
        <w:adjustRightInd w:val="0"/>
        <w:jc w:val="both"/>
        <w:rPr>
          <w:rFonts w:ascii="Palatino Linotype" w:hAnsi="Palatino Linotype"/>
          <w:color w:val="000000"/>
          <w:sz w:val="22"/>
          <w:szCs w:val="22"/>
          <w:lang w:eastAsia="en-US"/>
        </w:rPr>
      </w:pPr>
      <w:r w:rsidRPr="009E4B29">
        <w:rPr>
          <w:rFonts w:ascii="Palatino Linotype" w:hAnsi="Palatino Linotype"/>
          <w:sz w:val="22"/>
          <w:szCs w:val="22"/>
        </w:rPr>
        <w:t>Le constat, toutefois reste le même: Près de vingt ans après l’entrée en vigueur du traité d’Abuja (Mai 1994)</w:t>
      </w:r>
      <w:r w:rsidR="007252E8" w:rsidRPr="009E4B29">
        <w:rPr>
          <w:rFonts w:ascii="Palatino Linotype" w:hAnsi="Palatino Linotype"/>
          <w:sz w:val="22"/>
          <w:szCs w:val="22"/>
        </w:rPr>
        <w:t xml:space="preserve"> et</w:t>
      </w:r>
      <w:r w:rsidRPr="009E4B29">
        <w:rPr>
          <w:rFonts w:ascii="Palatino Linotype" w:hAnsi="Palatino Linotype"/>
          <w:sz w:val="22"/>
          <w:szCs w:val="22"/>
        </w:rPr>
        <w:t xml:space="preserve"> à cinq de l’échéance prévue pour la mise en place d’une Union Douanière dans chacun des blocs régionaux</w:t>
      </w:r>
      <w:r w:rsidR="007252E8" w:rsidRPr="009E4B29">
        <w:rPr>
          <w:rFonts w:ascii="Palatino Linotype" w:hAnsi="Palatino Linotype"/>
          <w:sz w:val="22"/>
          <w:szCs w:val="22"/>
        </w:rPr>
        <w:t>,</w:t>
      </w:r>
      <w:r w:rsidRPr="009E4B29">
        <w:rPr>
          <w:rFonts w:ascii="Palatino Linotype" w:hAnsi="Palatino Linotype"/>
          <w:sz w:val="22"/>
          <w:szCs w:val="22"/>
        </w:rPr>
        <w:t xml:space="preserve"> l’Afrique du Nord peine à concrétiser la mise en place des fondamentaux de l’intégration. </w:t>
      </w:r>
      <w:r w:rsidR="00823E6A" w:rsidRPr="009E4B29">
        <w:rPr>
          <w:rFonts w:ascii="Palatino Linotype" w:hAnsi="Palatino Linotype"/>
          <w:color w:val="000000"/>
          <w:sz w:val="22"/>
          <w:szCs w:val="22"/>
          <w:lang w:eastAsia="en-US"/>
        </w:rPr>
        <w:t>Le marché nord-africain reste l’un des moins intégrés du Continent. Sur la période 2006-2010, le commerce global intra-régional oscillait entre 3 et 4% des échanges extérieurs de la zone.</w:t>
      </w:r>
      <w:r w:rsidRPr="009E4B29">
        <w:rPr>
          <w:rFonts w:ascii="Palatino Linotype" w:hAnsi="Palatino Linotype"/>
          <w:color w:val="000000"/>
          <w:sz w:val="22"/>
          <w:szCs w:val="22"/>
          <w:lang w:eastAsia="en-US"/>
        </w:rPr>
        <w:t xml:space="preserve"> </w:t>
      </w:r>
      <w:r w:rsidR="00823E6A" w:rsidRPr="009E4B29">
        <w:rPr>
          <w:rFonts w:ascii="Palatino Linotype" w:hAnsi="Palatino Linotype"/>
          <w:color w:val="000000"/>
          <w:sz w:val="22"/>
          <w:szCs w:val="22"/>
          <w:lang w:eastAsia="en-US"/>
        </w:rPr>
        <w:t>Deux décennies après la signature du traité de Marrakech, la zone de libre-</w:t>
      </w:r>
      <w:r w:rsidR="00823E6A" w:rsidRPr="009E4B29">
        <w:rPr>
          <w:rFonts w:ascii="Palatino Linotype" w:hAnsi="Palatino Linotype"/>
          <w:sz w:val="22"/>
          <w:szCs w:val="22"/>
          <w:lang w:eastAsia="en-US"/>
        </w:rPr>
        <w:t>échange</w:t>
      </w:r>
      <w:r w:rsidR="00823E6A" w:rsidRPr="009E4B29">
        <w:rPr>
          <w:rFonts w:ascii="Palatino Linotype" w:hAnsi="Palatino Linotype"/>
          <w:color w:val="000000"/>
          <w:sz w:val="22"/>
          <w:szCs w:val="22"/>
          <w:lang w:eastAsia="en-US"/>
        </w:rPr>
        <w:t xml:space="preserve"> de l’UMA en est encore au stade de projet. </w:t>
      </w:r>
      <w:r w:rsidR="00FF619C" w:rsidRPr="009E4B29">
        <w:rPr>
          <w:rFonts w:ascii="Palatino Linotype" w:hAnsi="Palatino Linotype"/>
          <w:color w:val="000000"/>
          <w:sz w:val="22"/>
          <w:szCs w:val="22"/>
          <w:lang w:eastAsia="en-US"/>
        </w:rPr>
        <w:t xml:space="preserve">A part pour la CEMAC dont les échanges intra-régionaux sont en dessous de ceux de l’UMA, les autres CER atteignent des taux de </w:t>
      </w:r>
      <w:r w:rsidR="00823E6A" w:rsidRPr="009E4B29">
        <w:rPr>
          <w:rFonts w:ascii="Palatino Linotype" w:hAnsi="Palatino Linotype"/>
          <w:color w:val="000000"/>
          <w:sz w:val="22"/>
          <w:szCs w:val="22"/>
          <w:lang w:eastAsia="en-US"/>
        </w:rPr>
        <w:t xml:space="preserve"> 9,2% pour la CEDEAO, 9,8%</w:t>
      </w:r>
      <w:r w:rsidRPr="009E4B29">
        <w:rPr>
          <w:rFonts w:ascii="Palatino Linotype" w:hAnsi="Palatino Linotype"/>
          <w:color w:val="000000"/>
          <w:sz w:val="22"/>
          <w:szCs w:val="22"/>
          <w:lang w:eastAsia="en-US"/>
        </w:rPr>
        <w:t xml:space="preserve"> </w:t>
      </w:r>
      <w:r w:rsidR="00823E6A" w:rsidRPr="009E4B29">
        <w:rPr>
          <w:rFonts w:ascii="Palatino Linotype" w:hAnsi="Palatino Linotype"/>
          <w:color w:val="000000"/>
          <w:sz w:val="22"/>
          <w:szCs w:val="22"/>
          <w:lang w:eastAsia="en-US"/>
        </w:rPr>
        <w:t>pour la SADC et 15,2% pour l’UEMOA. Ce taux est d’environ 19% pour le MERCOSUR, 21% pour</w:t>
      </w:r>
      <w:r w:rsidRPr="009E4B29">
        <w:rPr>
          <w:rFonts w:ascii="Palatino Linotype" w:hAnsi="Palatino Linotype"/>
          <w:color w:val="000000"/>
          <w:sz w:val="22"/>
          <w:szCs w:val="22"/>
          <w:lang w:eastAsia="en-US"/>
        </w:rPr>
        <w:t xml:space="preserve"> </w:t>
      </w:r>
      <w:r w:rsidR="00823E6A" w:rsidRPr="009E4B29">
        <w:rPr>
          <w:rFonts w:ascii="Palatino Linotype" w:hAnsi="Palatino Linotype"/>
          <w:color w:val="000000"/>
          <w:sz w:val="22"/>
          <w:szCs w:val="22"/>
          <w:lang w:eastAsia="en-US"/>
        </w:rPr>
        <w:t>l’ASEAN, 60% pour l’Union Européenne.</w:t>
      </w:r>
    </w:p>
    <w:p w:rsidR="0005325C" w:rsidRPr="009E4B29" w:rsidRDefault="0005325C" w:rsidP="003A35BD">
      <w:pPr>
        <w:autoSpaceDE w:val="0"/>
        <w:autoSpaceDN w:val="0"/>
        <w:adjustRightInd w:val="0"/>
        <w:jc w:val="both"/>
        <w:rPr>
          <w:rFonts w:ascii="Palatino Linotype" w:hAnsi="Palatino Linotype"/>
          <w:color w:val="000000"/>
          <w:sz w:val="22"/>
          <w:szCs w:val="22"/>
          <w:lang w:eastAsia="en-US"/>
        </w:rPr>
      </w:pPr>
    </w:p>
    <w:p w:rsidR="00456076" w:rsidRPr="009E4B29" w:rsidRDefault="00823E6A" w:rsidP="003A35BD">
      <w:pPr>
        <w:autoSpaceDE w:val="0"/>
        <w:autoSpaceDN w:val="0"/>
        <w:adjustRightInd w:val="0"/>
        <w:jc w:val="both"/>
        <w:rPr>
          <w:rFonts w:ascii="Palatino Linotype" w:hAnsi="Palatino Linotype"/>
          <w:sz w:val="22"/>
          <w:szCs w:val="22"/>
        </w:rPr>
      </w:pPr>
      <w:r w:rsidRPr="009E4B29">
        <w:rPr>
          <w:rFonts w:ascii="Palatino Linotype" w:hAnsi="Palatino Linotype"/>
          <w:sz w:val="22"/>
          <w:szCs w:val="22"/>
        </w:rPr>
        <w:t xml:space="preserve">Le projet CEN-SAD, qui avait vocation de jeter une passerelle entre l’Afrique du Nord, </w:t>
      </w:r>
      <w:r w:rsidR="00B558A7" w:rsidRPr="009E4B29">
        <w:rPr>
          <w:rFonts w:ascii="Palatino Linotype" w:hAnsi="Palatino Linotype"/>
          <w:sz w:val="22"/>
          <w:szCs w:val="22"/>
        </w:rPr>
        <w:t>l</w:t>
      </w:r>
      <w:r w:rsidRPr="009E4B29">
        <w:rPr>
          <w:rFonts w:ascii="Palatino Linotype" w:hAnsi="Palatino Linotype"/>
          <w:sz w:val="22"/>
          <w:szCs w:val="22"/>
        </w:rPr>
        <w:t>’Afrique de l’Ouest et une partie de l’Afrique Centrale, manque pour l’instant de visibilité, en termes de marché régional structuré et d’alternative crédible à la faiblesse des échanges intra-maghrébins</w:t>
      </w:r>
      <w:r w:rsidR="006A0CE9" w:rsidRPr="009E4B29">
        <w:rPr>
          <w:rFonts w:ascii="Palatino Linotype" w:hAnsi="Palatino Linotype"/>
          <w:sz w:val="22"/>
          <w:szCs w:val="22"/>
        </w:rPr>
        <w:t xml:space="preserve"> (CEA-AN, 2011)</w:t>
      </w:r>
      <w:r w:rsidRPr="009E4B29">
        <w:rPr>
          <w:rFonts w:ascii="Palatino Linotype" w:hAnsi="Palatino Linotype"/>
          <w:sz w:val="22"/>
          <w:szCs w:val="22"/>
        </w:rPr>
        <w:t>.</w:t>
      </w:r>
      <w:r w:rsidR="006A0CE9" w:rsidRPr="009E4B29">
        <w:rPr>
          <w:rFonts w:ascii="Palatino Linotype" w:hAnsi="Palatino Linotype"/>
          <w:sz w:val="22"/>
          <w:szCs w:val="22"/>
        </w:rPr>
        <w:t xml:space="preserve"> </w:t>
      </w:r>
      <w:r w:rsidRPr="009E4B29">
        <w:rPr>
          <w:rFonts w:ascii="Palatino Linotype" w:hAnsi="Palatino Linotype"/>
          <w:sz w:val="22"/>
          <w:szCs w:val="22"/>
        </w:rPr>
        <w:t>Le positionnement stratégique optimal de l’Afrique du Nord sur l’échiquier des groupements</w:t>
      </w:r>
      <w:r w:rsidR="006A0CE9" w:rsidRPr="009E4B29">
        <w:rPr>
          <w:rFonts w:ascii="Palatino Linotype" w:hAnsi="Palatino Linotype"/>
          <w:sz w:val="22"/>
          <w:szCs w:val="22"/>
        </w:rPr>
        <w:t xml:space="preserve"> </w:t>
      </w:r>
      <w:r w:rsidRPr="009E4B29">
        <w:rPr>
          <w:rFonts w:ascii="Palatino Linotype" w:hAnsi="Palatino Linotype"/>
          <w:sz w:val="22"/>
          <w:szCs w:val="22"/>
        </w:rPr>
        <w:t>économiques en construction requiert tout au moins une mise à niveau rapide de ses institutions d’intégration, comparativement aux autres espaces régionaux, l’Afrique de l’Ouest et l’Afrique Australe en particulier, et face au poids économique et politique du partenaire européen. Cette mise à niveau doit également être menée par rapport au nouvel agenda défini par le Programme Minimum d’Intégration de</w:t>
      </w:r>
      <w:r w:rsidRPr="009E4B29">
        <w:rPr>
          <w:rFonts w:ascii="Palatino Linotype" w:hAnsi="Palatino Linotype"/>
          <w:color w:val="000000"/>
          <w:sz w:val="22"/>
          <w:szCs w:val="22"/>
          <w:lang w:eastAsia="en-US"/>
        </w:rPr>
        <w:t xml:space="preserve"> l’Union Africaine, et des évolutions enregistrées à l’échelle du Continent, notamment</w:t>
      </w:r>
      <w:r w:rsidR="006A0CE9" w:rsidRPr="009E4B29">
        <w:rPr>
          <w:rFonts w:ascii="Palatino Linotype" w:hAnsi="Palatino Linotype"/>
          <w:color w:val="000000"/>
          <w:sz w:val="22"/>
          <w:szCs w:val="22"/>
          <w:lang w:eastAsia="en-US"/>
        </w:rPr>
        <w:t xml:space="preserve"> </w:t>
      </w:r>
      <w:r w:rsidRPr="009E4B29">
        <w:rPr>
          <w:rFonts w:ascii="Palatino Linotype" w:hAnsi="Palatino Linotype"/>
          <w:color w:val="000000"/>
          <w:sz w:val="22"/>
          <w:szCs w:val="22"/>
          <w:lang w:eastAsia="en-US"/>
        </w:rPr>
        <w:t xml:space="preserve">avec l’Initiative </w:t>
      </w:r>
      <w:r w:rsidR="006A0CE9" w:rsidRPr="009E4B29">
        <w:rPr>
          <w:rFonts w:ascii="Palatino Linotype" w:hAnsi="Palatino Linotype"/>
          <w:color w:val="000000"/>
          <w:sz w:val="22"/>
          <w:szCs w:val="22"/>
          <w:lang w:eastAsia="en-US"/>
        </w:rPr>
        <w:t>dite de «K</w:t>
      </w:r>
      <w:r w:rsidRPr="009E4B29">
        <w:rPr>
          <w:rFonts w:ascii="Palatino Linotype" w:hAnsi="Palatino Linotype"/>
          <w:color w:val="000000"/>
          <w:sz w:val="22"/>
          <w:szCs w:val="22"/>
          <w:lang w:eastAsia="en-US"/>
        </w:rPr>
        <w:t>ampala »</w:t>
      </w:r>
      <w:r w:rsidR="006A0CE9" w:rsidRPr="009E4B29">
        <w:rPr>
          <w:rFonts w:ascii="Palatino Linotype" w:hAnsi="Palatino Linotype"/>
          <w:color w:val="000000"/>
          <w:sz w:val="22"/>
          <w:szCs w:val="22"/>
          <w:lang w:eastAsia="en-US"/>
        </w:rPr>
        <w:t xml:space="preserve"> (CEA-AN, 2011)</w:t>
      </w:r>
      <w:r w:rsidRPr="009E4B29">
        <w:rPr>
          <w:rFonts w:ascii="Palatino Linotype" w:hAnsi="Palatino Linotype"/>
          <w:color w:val="000000"/>
          <w:sz w:val="22"/>
          <w:szCs w:val="22"/>
          <w:lang w:eastAsia="en-US"/>
        </w:rPr>
        <w:t>.</w:t>
      </w:r>
      <w:r w:rsidR="00A45336" w:rsidRPr="009E4B29">
        <w:rPr>
          <w:rFonts w:ascii="Palatino Linotype" w:hAnsi="Palatino Linotype"/>
          <w:color w:val="000000"/>
          <w:sz w:val="22"/>
          <w:szCs w:val="22"/>
          <w:lang w:eastAsia="en-US"/>
        </w:rPr>
        <w:t xml:space="preserve"> </w:t>
      </w:r>
      <w:r w:rsidR="00607508" w:rsidRPr="009E4B29">
        <w:rPr>
          <w:rFonts w:ascii="Palatino Linotype" w:hAnsi="Palatino Linotype"/>
          <w:color w:val="000000"/>
          <w:sz w:val="22"/>
          <w:szCs w:val="22"/>
          <w:lang w:eastAsia="en-US"/>
        </w:rPr>
        <w:t>E</w:t>
      </w:r>
      <w:r w:rsidR="00A45336" w:rsidRPr="009E4B29">
        <w:rPr>
          <w:rFonts w:ascii="Palatino Linotype" w:hAnsi="Palatino Linotype"/>
          <w:color w:val="000000"/>
          <w:sz w:val="22"/>
          <w:szCs w:val="22"/>
          <w:lang w:eastAsia="en-US"/>
        </w:rPr>
        <w:t>n mars 2012, les Ministres africains d</w:t>
      </w:r>
      <w:r w:rsidR="00456076" w:rsidRPr="009E4B29">
        <w:rPr>
          <w:rFonts w:ascii="Palatino Linotype" w:hAnsi="Palatino Linotype"/>
          <w:color w:val="000000"/>
          <w:sz w:val="22"/>
          <w:szCs w:val="22"/>
          <w:lang w:eastAsia="en-US"/>
        </w:rPr>
        <w:t>u Plan et du Développement Economique, tout en réitérant leur soutien au Programme Minimum d’intégration,  ont salué l’accord tripartite entre la Communauté Est Africaine, la COMESA et la SADC pour la mise en place de leur  grande zone de libre échange</w:t>
      </w:r>
      <w:r w:rsidR="002E4B9F" w:rsidRPr="009E4B29">
        <w:rPr>
          <w:rFonts w:ascii="Palatino Linotype" w:hAnsi="Palatino Linotype"/>
          <w:color w:val="000000"/>
          <w:sz w:val="22"/>
          <w:szCs w:val="22"/>
          <w:lang w:eastAsia="en-US"/>
        </w:rPr>
        <w:t xml:space="preserve"> en vue d’établir un marché commun </w:t>
      </w:r>
      <w:r w:rsidR="00456076" w:rsidRPr="009E4B29">
        <w:rPr>
          <w:rFonts w:ascii="Palatino Linotype" w:hAnsi="Palatino Linotype"/>
          <w:color w:val="000000"/>
          <w:sz w:val="22"/>
          <w:szCs w:val="22"/>
          <w:lang w:eastAsia="en-US"/>
        </w:rPr>
        <w:t xml:space="preserve">et ont appelé à la mise en place dans les meilleurs délais d’une </w:t>
      </w:r>
      <w:r w:rsidR="002E4B9F" w:rsidRPr="009E4B29">
        <w:rPr>
          <w:rFonts w:ascii="Palatino Linotype" w:hAnsi="Palatino Linotype"/>
          <w:color w:val="000000"/>
          <w:sz w:val="22"/>
          <w:szCs w:val="22"/>
          <w:lang w:eastAsia="en-US"/>
        </w:rPr>
        <w:t xml:space="preserve">initiative similaire </w:t>
      </w:r>
      <w:r w:rsidR="00456076" w:rsidRPr="009E4B29">
        <w:rPr>
          <w:rFonts w:ascii="Palatino Linotype" w:hAnsi="Palatino Linotype"/>
          <w:color w:val="000000"/>
          <w:sz w:val="22"/>
          <w:szCs w:val="22"/>
          <w:lang w:eastAsia="en-US"/>
        </w:rPr>
        <w:t xml:space="preserve"> entre l’Afrique du Nord, </w:t>
      </w:r>
      <w:r w:rsidR="00607508" w:rsidRPr="009E4B29">
        <w:rPr>
          <w:rFonts w:ascii="Palatino Linotype" w:hAnsi="Palatino Linotype"/>
          <w:color w:val="000000"/>
          <w:sz w:val="22"/>
          <w:szCs w:val="22"/>
          <w:lang w:eastAsia="en-US"/>
        </w:rPr>
        <w:t xml:space="preserve">l’Afrique de l’Ouest et </w:t>
      </w:r>
      <w:r w:rsidR="00456076" w:rsidRPr="009E4B29">
        <w:rPr>
          <w:rFonts w:ascii="Palatino Linotype" w:hAnsi="Palatino Linotype"/>
          <w:color w:val="000000"/>
          <w:sz w:val="22"/>
          <w:szCs w:val="22"/>
          <w:lang w:eastAsia="en-US"/>
        </w:rPr>
        <w:t>l’Afrique Centrale</w:t>
      </w:r>
      <w:r w:rsidR="00456076" w:rsidRPr="009E4B29">
        <w:rPr>
          <w:rFonts w:ascii="Palatino Linotype" w:hAnsi="Palatino Linotype"/>
          <w:sz w:val="22"/>
          <w:szCs w:val="22"/>
        </w:rPr>
        <w:t>.</w:t>
      </w:r>
    </w:p>
    <w:p w:rsidR="002E4B9F" w:rsidRPr="009E4B29" w:rsidRDefault="002E4B9F" w:rsidP="0035708F">
      <w:pPr>
        <w:autoSpaceDE w:val="0"/>
        <w:autoSpaceDN w:val="0"/>
        <w:adjustRightInd w:val="0"/>
        <w:spacing w:line="276" w:lineRule="auto"/>
        <w:jc w:val="both"/>
        <w:rPr>
          <w:rFonts w:ascii="Palatino Linotype" w:hAnsi="Palatino Linotype"/>
          <w:sz w:val="22"/>
          <w:szCs w:val="22"/>
        </w:rPr>
      </w:pPr>
    </w:p>
    <w:p w:rsidR="00823E6A" w:rsidRPr="009E4B29" w:rsidRDefault="006A0CE9" w:rsidP="003A35BD">
      <w:pPr>
        <w:autoSpaceDE w:val="0"/>
        <w:autoSpaceDN w:val="0"/>
        <w:adjustRightInd w:val="0"/>
        <w:jc w:val="both"/>
        <w:rPr>
          <w:rFonts w:ascii="Palatino Linotype" w:hAnsi="Palatino Linotype"/>
          <w:color w:val="000000"/>
          <w:sz w:val="22"/>
          <w:szCs w:val="22"/>
          <w:lang w:eastAsia="en-US"/>
        </w:rPr>
      </w:pPr>
      <w:r w:rsidRPr="009E4B29">
        <w:rPr>
          <w:rFonts w:ascii="Palatino Linotype" w:hAnsi="Palatino Linotype"/>
          <w:color w:val="000000"/>
          <w:sz w:val="22"/>
          <w:szCs w:val="22"/>
          <w:lang w:eastAsia="en-US"/>
        </w:rPr>
        <w:t xml:space="preserve">Dans ce contexte ou l’on est encore loin de réaliser avec succès les premières étapes de l’intégration, </w:t>
      </w:r>
      <w:r w:rsidR="007252E8" w:rsidRPr="009E4B29">
        <w:rPr>
          <w:rFonts w:ascii="Palatino Linotype" w:hAnsi="Palatino Linotype"/>
          <w:color w:val="000000"/>
          <w:sz w:val="22"/>
          <w:szCs w:val="22"/>
          <w:lang w:eastAsia="en-US"/>
        </w:rPr>
        <w:t>on pourrait s’interroger sur la pertinence d’aborder l</w:t>
      </w:r>
      <w:r w:rsidRPr="009E4B29">
        <w:rPr>
          <w:rFonts w:ascii="Palatino Linotype" w:hAnsi="Palatino Linotype"/>
          <w:color w:val="000000"/>
          <w:sz w:val="22"/>
          <w:szCs w:val="22"/>
          <w:lang w:eastAsia="en-US"/>
        </w:rPr>
        <w:t>es questions d’intégration financière et d</w:t>
      </w:r>
      <w:r w:rsidR="007252E8" w:rsidRPr="009E4B29">
        <w:rPr>
          <w:rFonts w:ascii="Palatino Linotype" w:hAnsi="Palatino Linotype"/>
          <w:color w:val="000000"/>
          <w:sz w:val="22"/>
          <w:szCs w:val="22"/>
          <w:lang w:eastAsia="en-US"/>
        </w:rPr>
        <w:t>e</w:t>
      </w:r>
      <w:r w:rsidRPr="009E4B29">
        <w:rPr>
          <w:rFonts w:ascii="Palatino Linotype" w:hAnsi="Palatino Linotype"/>
          <w:color w:val="000000"/>
          <w:sz w:val="22"/>
          <w:szCs w:val="22"/>
          <w:lang w:eastAsia="en-US"/>
        </w:rPr>
        <w:t xml:space="preserve"> gouvernance régionale y </w:t>
      </w:r>
      <w:r w:rsidR="007252E8" w:rsidRPr="009E4B29">
        <w:rPr>
          <w:rFonts w:ascii="Palatino Linotype" w:hAnsi="Palatino Linotype"/>
          <w:color w:val="000000"/>
          <w:sz w:val="22"/>
          <w:szCs w:val="22"/>
          <w:lang w:eastAsia="en-US"/>
        </w:rPr>
        <w:t>afférente</w:t>
      </w:r>
      <w:r w:rsidRPr="009E4B29">
        <w:rPr>
          <w:rFonts w:ascii="Palatino Linotype" w:hAnsi="Palatino Linotype"/>
          <w:color w:val="000000"/>
          <w:sz w:val="22"/>
          <w:szCs w:val="22"/>
          <w:lang w:eastAsia="en-US"/>
        </w:rPr>
        <w:t xml:space="preserve">.  </w:t>
      </w:r>
      <w:r w:rsidR="007252E8" w:rsidRPr="009E4B29">
        <w:rPr>
          <w:rFonts w:ascii="Palatino Linotype" w:hAnsi="Palatino Linotype"/>
          <w:color w:val="000000"/>
          <w:sz w:val="22"/>
          <w:szCs w:val="22"/>
          <w:lang w:eastAsia="en-US"/>
        </w:rPr>
        <w:t xml:space="preserve">Dans la plupart des cas, </w:t>
      </w:r>
      <w:r w:rsidRPr="009E4B29">
        <w:rPr>
          <w:rFonts w:ascii="Palatino Linotype" w:hAnsi="Palatino Linotype"/>
          <w:color w:val="000000"/>
          <w:sz w:val="22"/>
          <w:szCs w:val="22"/>
          <w:lang w:eastAsia="en-US"/>
        </w:rPr>
        <w:t xml:space="preserve"> l’intégration régionale </w:t>
      </w:r>
      <w:r w:rsidR="007252E8" w:rsidRPr="009E4B29">
        <w:rPr>
          <w:rFonts w:ascii="Palatino Linotype" w:hAnsi="Palatino Linotype"/>
          <w:color w:val="000000"/>
          <w:sz w:val="22"/>
          <w:szCs w:val="22"/>
          <w:lang w:eastAsia="en-US"/>
        </w:rPr>
        <w:t xml:space="preserve">suit </w:t>
      </w:r>
      <w:r w:rsidR="00A45336" w:rsidRPr="009E4B29">
        <w:rPr>
          <w:rFonts w:ascii="Palatino Linotype" w:hAnsi="Palatino Linotype"/>
          <w:color w:val="000000"/>
          <w:sz w:val="22"/>
          <w:szCs w:val="22"/>
          <w:lang w:eastAsia="en-US"/>
        </w:rPr>
        <w:t>u</w:t>
      </w:r>
      <w:r w:rsidRPr="009E4B29">
        <w:rPr>
          <w:rFonts w:ascii="Palatino Linotype" w:hAnsi="Palatino Linotype"/>
          <w:color w:val="000000"/>
          <w:sz w:val="22"/>
          <w:szCs w:val="22"/>
          <w:lang w:eastAsia="en-US"/>
        </w:rPr>
        <w:t xml:space="preserve">n processus dont </w:t>
      </w:r>
      <w:r w:rsidRPr="009E4B29">
        <w:rPr>
          <w:rFonts w:ascii="Palatino Linotype" w:hAnsi="Palatino Linotype"/>
          <w:sz w:val="22"/>
          <w:szCs w:val="22"/>
        </w:rPr>
        <w:t>le</w:t>
      </w:r>
      <w:r w:rsidRPr="009E4B29">
        <w:rPr>
          <w:rFonts w:ascii="Palatino Linotype" w:hAnsi="Palatino Linotype"/>
          <w:color w:val="000000"/>
          <w:sz w:val="22"/>
          <w:szCs w:val="22"/>
          <w:lang w:eastAsia="en-US"/>
        </w:rPr>
        <w:t xml:space="preserve"> cheminement </w:t>
      </w:r>
      <w:r w:rsidR="007252E8" w:rsidRPr="009E4B29">
        <w:rPr>
          <w:rFonts w:ascii="Palatino Linotype" w:hAnsi="Palatino Linotype"/>
          <w:color w:val="000000"/>
          <w:sz w:val="22"/>
          <w:szCs w:val="22"/>
          <w:lang w:eastAsia="en-US"/>
        </w:rPr>
        <w:t>classique</w:t>
      </w:r>
      <w:r w:rsidRPr="009E4B29">
        <w:rPr>
          <w:rFonts w:ascii="Palatino Linotype" w:hAnsi="Palatino Linotype"/>
          <w:color w:val="000000"/>
          <w:sz w:val="22"/>
          <w:szCs w:val="22"/>
          <w:lang w:eastAsia="en-US"/>
        </w:rPr>
        <w:t> : une zone de préférence tarifaire puis une zone de libre échange</w:t>
      </w:r>
      <w:r w:rsidR="007252E8" w:rsidRPr="009E4B29">
        <w:rPr>
          <w:rFonts w:ascii="Palatino Linotype" w:hAnsi="Palatino Linotype"/>
          <w:color w:val="000000"/>
          <w:sz w:val="22"/>
          <w:szCs w:val="22"/>
          <w:lang w:eastAsia="en-US"/>
        </w:rPr>
        <w:t xml:space="preserve">, </w:t>
      </w:r>
      <w:r w:rsidRPr="009E4B29">
        <w:rPr>
          <w:rFonts w:ascii="Palatino Linotype" w:hAnsi="Palatino Linotype"/>
          <w:color w:val="000000"/>
          <w:sz w:val="22"/>
          <w:szCs w:val="22"/>
          <w:lang w:eastAsia="en-US"/>
        </w:rPr>
        <w:t xml:space="preserve"> une union douanière, un marché commun, une union économique</w:t>
      </w:r>
      <w:r w:rsidR="00E907DB" w:rsidRPr="009E4B29">
        <w:rPr>
          <w:rStyle w:val="Appelnotedebasdep"/>
          <w:rFonts w:ascii="Palatino Linotype" w:hAnsi="Palatino Linotype"/>
          <w:color w:val="000000"/>
          <w:sz w:val="22"/>
          <w:szCs w:val="22"/>
          <w:lang w:eastAsia="en-US"/>
        </w:rPr>
        <w:footnoteReference w:id="1"/>
      </w:r>
      <w:r w:rsidRPr="009E4B29">
        <w:rPr>
          <w:rFonts w:ascii="Palatino Linotype" w:hAnsi="Palatino Linotype"/>
          <w:color w:val="000000"/>
          <w:sz w:val="22"/>
          <w:szCs w:val="22"/>
          <w:lang w:eastAsia="en-US"/>
        </w:rPr>
        <w:t xml:space="preserve">, une union  monétaire et enfin une intégration </w:t>
      </w:r>
      <w:r w:rsidR="007252E8" w:rsidRPr="009E4B29">
        <w:rPr>
          <w:rFonts w:ascii="Palatino Linotype" w:hAnsi="Palatino Linotype"/>
          <w:color w:val="000000"/>
          <w:sz w:val="22"/>
          <w:szCs w:val="22"/>
          <w:lang w:eastAsia="en-US"/>
        </w:rPr>
        <w:t>aboutie</w:t>
      </w:r>
      <w:r w:rsidRPr="009E4B29">
        <w:rPr>
          <w:rFonts w:ascii="Palatino Linotype" w:hAnsi="Palatino Linotype"/>
          <w:color w:val="000000"/>
          <w:sz w:val="22"/>
          <w:szCs w:val="22"/>
          <w:lang w:eastAsia="en-US"/>
        </w:rPr>
        <w:t xml:space="preserve"> avec </w:t>
      </w:r>
      <w:r w:rsidR="00C11DC4" w:rsidRPr="009E4B29">
        <w:rPr>
          <w:rFonts w:ascii="Palatino Linotype" w:hAnsi="Palatino Linotype"/>
          <w:color w:val="000000"/>
          <w:sz w:val="22"/>
          <w:szCs w:val="22"/>
          <w:lang w:eastAsia="en-US"/>
        </w:rPr>
        <w:t xml:space="preserve">un gouvernement régional, un parlement régional </w:t>
      </w:r>
      <w:r w:rsidR="007252E8" w:rsidRPr="009E4B29">
        <w:rPr>
          <w:rFonts w:ascii="Palatino Linotype" w:hAnsi="Palatino Linotype"/>
          <w:color w:val="000000"/>
          <w:sz w:val="22"/>
          <w:szCs w:val="22"/>
          <w:lang w:eastAsia="en-US"/>
        </w:rPr>
        <w:t>et l’ensemble des institutions de gouvernance régionale</w:t>
      </w:r>
      <w:r w:rsidR="00C11DC4" w:rsidRPr="009E4B29">
        <w:rPr>
          <w:rFonts w:ascii="Palatino Linotype" w:hAnsi="Palatino Linotype"/>
          <w:color w:val="000000"/>
          <w:sz w:val="22"/>
          <w:szCs w:val="22"/>
          <w:lang w:eastAsia="en-US"/>
        </w:rPr>
        <w:t xml:space="preserve">. </w:t>
      </w:r>
    </w:p>
    <w:p w:rsidR="002E4B9F" w:rsidRPr="009E4B29" w:rsidRDefault="002E4B9F" w:rsidP="00D52713">
      <w:pPr>
        <w:autoSpaceDE w:val="0"/>
        <w:autoSpaceDN w:val="0"/>
        <w:adjustRightInd w:val="0"/>
        <w:spacing w:line="276" w:lineRule="auto"/>
        <w:jc w:val="both"/>
        <w:rPr>
          <w:rFonts w:ascii="Palatino Linotype" w:hAnsi="Palatino Linotype"/>
          <w:color w:val="000000"/>
          <w:sz w:val="22"/>
          <w:szCs w:val="22"/>
          <w:lang w:eastAsia="en-US"/>
        </w:rPr>
      </w:pPr>
    </w:p>
    <w:p w:rsidR="00C77492" w:rsidRDefault="00C11DC4" w:rsidP="003A35BD">
      <w:pPr>
        <w:autoSpaceDE w:val="0"/>
        <w:autoSpaceDN w:val="0"/>
        <w:adjustRightInd w:val="0"/>
        <w:jc w:val="both"/>
        <w:rPr>
          <w:rFonts w:ascii="Palatino Linotype" w:hAnsi="Palatino Linotype"/>
          <w:sz w:val="22"/>
          <w:szCs w:val="22"/>
          <w:lang w:eastAsia="en-US"/>
        </w:rPr>
      </w:pPr>
      <w:r w:rsidRPr="009E4B29">
        <w:rPr>
          <w:rFonts w:ascii="Palatino Linotype" w:hAnsi="Palatino Linotype"/>
          <w:color w:val="000000"/>
          <w:sz w:val="22"/>
          <w:szCs w:val="22"/>
          <w:lang w:eastAsia="en-US"/>
        </w:rPr>
        <w:t xml:space="preserve">Si par endroit sur le continent, on retrouve des CER qui n’ont pas respecté dans leur processus d’intégration (du reste en construction) cette ligne </w:t>
      </w:r>
      <w:r w:rsidR="001349CA" w:rsidRPr="009E4B29">
        <w:rPr>
          <w:rFonts w:ascii="Palatino Linotype" w:hAnsi="Palatino Linotype"/>
          <w:color w:val="000000"/>
          <w:sz w:val="22"/>
          <w:szCs w:val="22"/>
          <w:lang w:eastAsia="en-US"/>
        </w:rPr>
        <w:t>classique</w:t>
      </w:r>
      <w:r w:rsidR="00EF7414" w:rsidRPr="009E4B29">
        <w:rPr>
          <w:rFonts w:ascii="Palatino Linotype" w:hAnsi="Palatino Linotype"/>
          <w:color w:val="000000"/>
          <w:sz w:val="22"/>
          <w:szCs w:val="22"/>
          <w:lang w:eastAsia="en-US"/>
        </w:rPr>
        <w:t>,</w:t>
      </w:r>
      <w:r w:rsidRPr="009E4B29">
        <w:rPr>
          <w:rFonts w:ascii="Palatino Linotype" w:hAnsi="Palatino Linotype"/>
          <w:color w:val="000000"/>
          <w:sz w:val="22"/>
          <w:szCs w:val="22"/>
          <w:lang w:eastAsia="en-US"/>
        </w:rPr>
        <w:t xml:space="preserve"> </w:t>
      </w:r>
      <w:r w:rsidR="001349CA" w:rsidRPr="009E4B29">
        <w:rPr>
          <w:rFonts w:ascii="Palatino Linotype" w:hAnsi="Palatino Linotype"/>
          <w:color w:val="000000"/>
          <w:sz w:val="22"/>
          <w:szCs w:val="22"/>
          <w:lang w:eastAsia="en-US"/>
        </w:rPr>
        <w:t xml:space="preserve">dû </w:t>
      </w:r>
      <w:r w:rsidRPr="009E4B29">
        <w:rPr>
          <w:rFonts w:ascii="Palatino Linotype" w:hAnsi="Palatino Linotype"/>
          <w:color w:val="000000"/>
          <w:sz w:val="22"/>
          <w:szCs w:val="22"/>
          <w:lang w:eastAsia="en-US"/>
        </w:rPr>
        <w:t>notamment à un héritage  monétaire colonial qui a fait de ces zone</w:t>
      </w:r>
      <w:r w:rsidR="00EF7414" w:rsidRPr="009E4B29">
        <w:rPr>
          <w:rFonts w:ascii="Palatino Linotype" w:hAnsi="Palatino Linotype"/>
          <w:color w:val="000000"/>
          <w:sz w:val="22"/>
          <w:szCs w:val="22"/>
          <w:lang w:eastAsia="en-US"/>
        </w:rPr>
        <w:t>s</w:t>
      </w:r>
      <w:r w:rsidRPr="009E4B29">
        <w:rPr>
          <w:rFonts w:ascii="Palatino Linotype" w:hAnsi="Palatino Linotype"/>
          <w:color w:val="000000"/>
          <w:sz w:val="22"/>
          <w:szCs w:val="22"/>
          <w:lang w:eastAsia="en-US"/>
        </w:rPr>
        <w:t xml:space="preserve"> des unions monétaires avant même la constitution de leur union </w:t>
      </w:r>
      <w:r w:rsidRPr="009E4B29">
        <w:rPr>
          <w:rFonts w:ascii="Palatino Linotype" w:hAnsi="Palatino Linotype"/>
          <w:sz w:val="22"/>
          <w:szCs w:val="22"/>
        </w:rPr>
        <w:t>douanière</w:t>
      </w:r>
      <w:r w:rsidR="001349CA" w:rsidRPr="009E4B29">
        <w:rPr>
          <w:rFonts w:ascii="Palatino Linotype" w:hAnsi="Palatino Linotype"/>
          <w:color w:val="000000"/>
          <w:sz w:val="22"/>
          <w:szCs w:val="22"/>
          <w:lang w:eastAsia="en-US"/>
        </w:rPr>
        <w:t>. Un bon</w:t>
      </w:r>
      <w:r w:rsidRPr="009E4B29">
        <w:rPr>
          <w:rFonts w:ascii="Palatino Linotype" w:hAnsi="Palatino Linotype"/>
          <w:color w:val="000000"/>
          <w:sz w:val="22"/>
          <w:szCs w:val="22"/>
          <w:lang w:eastAsia="en-US"/>
        </w:rPr>
        <w:t xml:space="preserve"> "</w:t>
      </w:r>
      <w:bookmarkStart w:id="15" w:name="OLE_LINK3"/>
      <w:bookmarkStart w:id="16" w:name="OLE_LINK6"/>
      <w:proofErr w:type="spellStart"/>
      <w:r w:rsidRPr="009E4B29">
        <w:rPr>
          <w:rFonts w:ascii="Palatino Linotype" w:hAnsi="Palatino Linotype"/>
          <w:color w:val="000000"/>
          <w:sz w:val="22"/>
          <w:szCs w:val="22"/>
          <w:lang w:eastAsia="en-US"/>
        </w:rPr>
        <w:t>sequencinq</w:t>
      </w:r>
      <w:bookmarkEnd w:id="15"/>
      <w:bookmarkEnd w:id="16"/>
      <w:proofErr w:type="spellEnd"/>
      <w:r w:rsidRPr="009E4B29">
        <w:rPr>
          <w:rFonts w:ascii="Palatino Linotype" w:hAnsi="Palatino Linotype"/>
          <w:color w:val="000000"/>
          <w:sz w:val="22"/>
          <w:szCs w:val="22"/>
          <w:lang w:eastAsia="en-US"/>
        </w:rPr>
        <w:t>" reste important selon nombre d’analystes pour réussir la construction de bloc régionaux solide</w:t>
      </w:r>
      <w:r w:rsidR="00EF7414" w:rsidRPr="009E4B29">
        <w:rPr>
          <w:rFonts w:ascii="Palatino Linotype" w:hAnsi="Palatino Linotype"/>
          <w:color w:val="000000"/>
          <w:sz w:val="22"/>
          <w:szCs w:val="22"/>
          <w:lang w:eastAsia="en-US"/>
        </w:rPr>
        <w:t>s</w:t>
      </w:r>
      <w:r w:rsidRPr="009E4B29">
        <w:rPr>
          <w:rFonts w:ascii="Palatino Linotype" w:hAnsi="Palatino Linotype"/>
          <w:color w:val="000000"/>
          <w:sz w:val="22"/>
          <w:szCs w:val="22"/>
          <w:lang w:eastAsia="en-US"/>
        </w:rPr>
        <w:t xml:space="preserve"> et de marché</w:t>
      </w:r>
      <w:r w:rsidR="00EF7414" w:rsidRPr="009E4B29">
        <w:rPr>
          <w:rFonts w:ascii="Palatino Linotype" w:hAnsi="Palatino Linotype"/>
          <w:color w:val="000000"/>
          <w:sz w:val="22"/>
          <w:szCs w:val="22"/>
          <w:lang w:eastAsia="en-US"/>
        </w:rPr>
        <w:t>s</w:t>
      </w:r>
      <w:r w:rsidRPr="009E4B29">
        <w:rPr>
          <w:rFonts w:ascii="Palatino Linotype" w:hAnsi="Palatino Linotype"/>
          <w:color w:val="000000"/>
          <w:sz w:val="22"/>
          <w:szCs w:val="22"/>
          <w:lang w:eastAsia="en-US"/>
        </w:rPr>
        <w:t xml:space="preserve"> optimaux.</w:t>
      </w:r>
      <w:r w:rsidRPr="009E4B29">
        <w:rPr>
          <w:rFonts w:ascii="Palatino Linotype" w:hAnsi="Palatino Linotype"/>
          <w:sz w:val="22"/>
          <w:szCs w:val="22"/>
          <w:lang w:eastAsia="en-US"/>
        </w:rPr>
        <w:t xml:space="preserve"> Selon McKinnon (1991), la </w:t>
      </w:r>
      <w:r w:rsidRPr="009E4B29">
        <w:rPr>
          <w:rFonts w:ascii="Palatino Linotype" w:hAnsi="Palatino Linotype"/>
          <w:sz w:val="22"/>
          <w:szCs w:val="22"/>
          <w:lang w:eastAsia="en-US"/>
        </w:rPr>
        <w:lastRenderedPageBreak/>
        <w:t>libéralisation des comptes du capital, une étape cruciale vers l’intégration fi</w:t>
      </w:r>
      <w:r w:rsidR="00EA1F10" w:rsidRPr="009E4B29">
        <w:rPr>
          <w:rFonts w:ascii="Palatino Linotype" w:hAnsi="Palatino Linotype"/>
          <w:sz w:val="22"/>
          <w:szCs w:val="22"/>
          <w:lang w:eastAsia="en-US"/>
        </w:rPr>
        <w:t>n</w:t>
      </w:r>
      <w:r w:rsidRPr="009E4B29">
        <w:rPr>
          <w:rFonts w:ascii="Palatino Linotype" w:hAnsi="Palatino Linotype"/>
          <w:sz w:val="22"/>
          <w:szCs w:val="22"/>
          <w:lang w:eastAsia="en-US"/>
        </w:rPr>
        <w:t>ancière,  doit être la dernière d’une longue série de libéralisation et ne doit avoir lieu qu’une fois la libéralisation</w:t>
      </w:r>
      <w:r w:rsidR="00EA1F10" w:rsidRPr="009E4B29">
        <w:rPr>
          <w:rFonts w:ascii="Palatino Linotype" w:hAnsi="Palatino Linotype"/>
          <w:sz w:val="22"/>
          <w:szCs w:val="22"/>
          <w:lang w:eastAsia="en-US"/>
        </w:rPr>
        <w:t xml:space="preserve"> </w:t>
      </w:r>
      <w:r w:rsidRPr="009E4B29">
        <w:rPr>
          <w:rFonts w:ascii="Palatino Linotype" w:hAnsi="Palatino Linotype"/>
          <w:sz w:val="22"/>
          <w:szCs w:val="22"/>
          <w:lang w:eastAsia="en-US"/>
        </w:rPr>
        <w:t>commerciale achevée. Néanmoins, le bien fondé théorique de cette affirmation n’a pas été</w:t>
      </w:r>
      <w:r w:rsidR="00EA1F10" w:rsidRPr="009E4B29">
        <w:rPr>
          <w:rFonts w:ascii="Palatino Linotype" w:hAnsi="Palatino Linotype"/>
          <w:sz w:val="22"/>
          <w:szCs w:val="22"/>
          <w:lang w:eastAsia="en-US"/>
        </w:rPr>
        <w:t xml:space="preserve"> </w:t>
      </w:r>
      <w:r w:rsidRPr="009E4B29">
        <w:rPr>
          <w:rFonts w:ascii="Palatino Linotype" w:hAnsi="Palatino Linotype"/>
          <w:sz w:val="22"/>
          <w:szCs w:val="22"/>
          <w:lang w:eastAsia="en-US"/>
        </w:rPr>
        <w:t xml:space="preserve">toujours confirmé par les travaux empiriques traitant de la question. Ainsi, </w:t>
      </w:r>
      <w:proofErr w:type="spellStart"/>
      <w:r w:rsidRPr="009E4B29">
        <w:rPr>
          <w:rFonts w:ascii="Palatino Linotype" w:hAnsi="Palatino Linotype"/>
          <w:sz w:val="22"/>
          <w:szCs w:val="22"/>
          <w:lang w:eastAsia="en-US"/>
        </w:rPr>
        <w:t>Haggard</w:t>
      </w:r>
      <w:proofErr w:type="spellEnd"/>
      <w:r w:rsidRPr="009E4B29">
        <w:rPr>
          <w:rFonts w:ascii="Palatino Linotype" w:hAnsi="Palatino Linotype"/>
          <w:sz w:val="22"/>
          <w:szCs w:val="22"/>
          <w:lang w:eastAsia="en-US"/>
        </w:rPr>
        <w:t xml:space="preserve"> et</w:t>
      </w:r>
      <w:r w:rsidR="00EA1F10" w:rsidRPr="009E4B29">
        <w:rPr>
          <w:rFonts w:ascii="Palatino Linotype" w:hAnsi="Palatino Linotype"/>
          <w:sz w:val="22"/>
          <w:szCs w:val="22"/>
          <w:lang w:eastAsia="en-US"/>
        </w:rPr>
        <w:t xml:space="preserve"> </w:t>
      </w:r>
      <w:proofErr w:type="spellStart"/>
      <w:r w:rsidRPr="009E4B29">
        <w:rPr>
          <w:rFonts w:ascii="Palatino Linotype" w:hAnsi="Palatino Linotype"/>
          <w:sz w:val="22"/>
          <w:szCs w:val="22"/>
          <w:lang w:eastAsia="en-US"/>
        </w:rPr>
        <w:t>Maxfield</w:t>
      </w:r>
      <w:proofErr w:type="spellEnd"/>
      <w:r w:rsidRPr="009E4B29">
        <w:rPr>
          <w:rFonts w:ascii="Palatino Linotype" w:hAnsi="Palatino Linotype"/>
          <w:sz w:val="22"/>
          <w:szCs w:val="22"/>
          <w:lang w:eastAsia="en-US"/>
        </w:rPr>
        <w:t xml:space="preserve"> (1993) ont montré que l’ouverture commerciale est une condition de l’ouverture</w:t>
      </w:r>
      <w:r w:rsidR="00EA1F10" w:rsidRPr="009E4B29">
        <w:rPr>
          <w:rFonts w:ascii="Palatino Linotype" w:hAnsi="Palatino Linotype"/>
          <w:sz w:val="22"/>
          <w:szCs w:val="22"/>
          <w:lang w:eastAsia="en-US"/>
        </w:rPr>
        <w:t xml:space="preserve"> </w:t>
      </w:r>
      <w:r w:rsidRPr="009E4B29">
        <w:rPr>
          <w:rFonts w:ascii="Palatino Linotype" w:hAnsi="Palatino Linotype"/>
          <w:sz w:val="22"/>
          <w:szCs w:val="22"/>
          <w:lang w:eastAsia="en-US"/>
        </w:rPr>
        <w:t xml:space="preserve">financière alors que </w:t>
      </w:r>
      <w:proofErr w:type="spellStart"/>
      <w:r w:rsidRPr="009E4B29">
        <w:rPr>
          <w:rFonts w:ascii="Palatino Linotype" w:hAnsi="Palatino Linotype"/>
          <w:sz w:val="22"/>
          <w:szCs w:val="22"/>
          <w:lang w:eastAsia="en-US"/>
        </w:rPr>
        <w:t>Leblang</w:t>
      </w:r>
      <w:proofErr w:type="spellEnd"/>
      <w:r w:rsidRPr="009E4B29">
        <w:rPr>
          <w:rFonts w:ascii="Palatino Linotype" w:hAnsi="Palatino Linotype"/>
          <w:sz w:val="22"/>
          <w:szCs w:val="22"/>
          <w:lang w:eastAsia="en-US"/>
        </w:rPr>
        <w:t xml:space="preserve"> (1977) n’a trouvé aucune influence de la libéralisation</w:t>
      </w:r>
      <w:r w:rsidR="00EA1F10" w:rsidRPr="009E4B29">
        <w:rPr>
          <w:rFonts w:ascii="Palatino Linotype" w:hAnsi="Palatino Linotype"/>
          <w:sz w:val="22"/>
          <w:szCs w:val="22"/>
          <w:lang w:eastAsia="en-US"/>
        </w:rPr>
        <w:t xml:space="preserve"> </w:t>
      </w:r>
      <w:r w:rsidRPr="009E4B29">
        <w:rPr>
          <w:rFonts w:ascii="Palatino Linotype" w:hAnsi="Palatino Linotype"/>
          <w:sz w:val="22"/>
          <w:szCs w:val="22"/>
          <w:lang w:eastAsia="en-US"/>
        </w:rPr>
        <w:t xml:space="preserve">commerciale sur la libéralisation financière. </w:t>
      </w:r>
      <w:proofErr w:type="spellStart"/>
      <w:r w:rsidRPr="009E4B29">
        <w:rPr>
          <w:rFonts w:ascii="Palatino Linotype" w:hAnsi="Palatino Linotype"/>
          <w:sz w:val="22"/>
          <w:szCs w:val="22"/>
          <w:lang w:eastAsia="en-US"/>
        </w:rPr>
        <w:t>Aizenman</w:t>
      </w:r>
      <w:proofErr w:type="spellEnd"/>
      <w:r w:rsidRPr="009E4B29">
        <w:rPr>
          <w:rFonts w:ascii="Palatino Linotype" w:hAnsi="Palatino Linotype"/>
          <w:sz w:val="22"/>
          <w:szCs w:val="22"/>
          <w:lang w:eastAsia="en-US"/>
        </w:rPr>
        <w:t xml:space="preserve"> et </w:t>
      </w:r>
      <w:proofErr w:type="spellStart"/>
      <w:r w:rsidRPr="009E4B29">
        <w:rPr>
          <w:rFonts w:ascii="Palatino Linotype" w:hAnsi="Palatino Linotype"/>
          <w:sz w:val="22"/>
          <w:szCs w:val="22"/>
          <w:lang w:eastAsia="en-US"/>
        </w:rPr>
        <w:t>Noy</w:t>
      </w:r>
      <w:proofErr w:type="spellEnd"/>
      <w:r w:rsidRPr="009E4B29">
        <w:rPr>
          <w:rFonts w:ascii="Palatino Linotype" w:hAnsi="Palatino Linotype"/>
          <w:sz w:val="22"/>
          <w:szCs w:val="22"/>
          <w:lang w:eastAsia="en-US"/>
        </w:rPr>
        <w:t xml:space="preserve"> (2004) ont découvert une</w:t>
      </w:r>
      <w:r w:rsidR="00EA1F10" w:rsidRPr="009E4B29">
        <w:rPr>
          <w:rFonts w:ascii="Palatino Linotype" w:hAnsi="Palatino Linotype"/>
          <w:sz w:val="22"/>
          <w:szCs w:val="22"/>
          <w:lang w:eastAsia="en-US"/>
        </w:rPr>
        <w:t xml:space="preserve"> </w:t>
      </w:r>
      <w:r w:rsidRPr="009E4B29">
        <w:rPr>
          <w:rFonts w:ascii="Palatino Linotype" w:hAnsi="Palatino Linotype"/>
          <w:sz w:val="22"/>
          <w:szCs w:val="22"/>
          <w:lang w:eastAsia="en-US"/>
        </w:rPr>
        <w:t>relation bidirectionnelle entre l’ouverture financière et la libéralisation commerciale, même</w:t>
      </w:r>
      <w:r w:rsidR="00EA1F10" w:rsidRPr="009E4B29">
        <w:rPr>
          <w:rFonts w:ascii="Palatino Linotype" w:hAnsi="Palatino Linotype"/>
          <w:sz w:val="22"/>
          <w:szCs w:val="22"/>
          <w:lang w:eastAsia="en-US"/>
        </w:rPr>
        <w:t xml:space="preserve"> </w:t>
      </w:r>
      <w:r w:rsidRPr="009E4B29">
        <w:rPr>
          <w:rFonts w:ascii="Palatino Linotype" w:hAnsi="Palatino Linotype"/>
          <w:sz w:val="22"/>
          <w:szCs w:val="22"/>
          <w:lang w:eastAsia="en-US"/>
        </w:rPr>
        <w:t>s’ils ont trouvé que c’est l’ouverture financière qui conduit à la libéralisation commerciale</w:t>
      </w:r>
      <w:r w:rsidR="00EA1F10" w:rsidRPr="009E4B29">
        <w:rPr>
          <w:rFonts w:ascii="Palatino Linotype" w:hAnsi="Palatino Linotype"/>
          <w:sz w:val="22"/>
          <w:szCs w:val="22"/>
          <w:lang w:eastAsia="en-US"/>
        </w:rPr>
        <w:t xml:space="preserve"> </w:t>
      </w:r>
      <w:r w:rsidRPr="009E4B29">
        <w:rPr>
          <w:rFonts w:ascii="Palatino Linotype" w:hAnsi="Palatino Linotype"/>
          <w:sz w:val="22"/>
          <w:szCs w:val="22"/>
          <w:lang w:eastAsia="en-US"/>
        </w:rPr>
        <w:t xml:space="preserve">plutôt que l’inverse. </w:t>
      </w:r>
      <w:proofErr w:type="spellStart"/>
      <w:r w:rsidRPr="009E4B29">
        <w:rPr>
          <w:rFonts w:ascii="Palatino Linotype" w:hAnsi="Palatino Linotype"/>
          <w:sz w:val="22"/>
          <w:szCs w:val="22"/>
          <w:lang w:eastAsia="en-US"/>
        </w:rPr>
        <w:t>Tornell</w:t>
      </w:r>
      <w:proofErr w:type="spellEnd"/>
      <w:r w:rsidRPr="009E4B29">
        <w:rPr>
          <w:rFonts w:ascii="Palatino Linotype" w:hAnsi="Palatino Linotype"/>
          <w:sz w:val="22"/>
          <w:szCs w:val="22"/>
          <w:lang w:eastAsia="en-US"/>
        </w:rPr>
        <w:t xml:space="preserve"> et al. (2004) ont montré que la libéralisation financière a toujours</w:t>
      </w:r>
      <w:r w:rsidR="00EA1F10" w:rsidRPr="009E4B29">
        <w:rPr>
          <w:rFonts w:ascii="Palatino Linotype" w:hAnsi="Palatino Linotype"/>
          <w:sz w:val="22"/>
          <w:szCs w:val="22"/>
          <w:lang w:eastAsia="en-US"/>
        </w:rPr>
        <w:t xml:space="preserve"> </w:t>
      </w:r>
      <w:r w:rsidRPr="009E4B29">
        <w:rPr>
          <w:rFonts w:ascii="Palatino Linotype" w:hAnsi="Palatino Linotype"/>
          <w:sz w:val="22"/>
          <w:szCs w:val="22"/>
          <w:lang w:eastAsia="en-US"/>
        </w:rPr>
        <w:t>suivi la libéralisation commerciale l</w:t>
      </w:r>
      <w:r w:rsidR="00EA1F10" w:rsidRPr="009E4B29">
        <w:rPr>
          <w:rFonts w:ascii="Palatino Linotype" w:hAnsi="Palatino Linotype"/>
          <w:sz w:val="22"/>
          <w:szCs w:val="22"/>
          <w:lang w:eastAsia="en-US"/>
        </w:rPr>
        <w:t xml:space="preserve">ors des deux dernières décennies. </w:t>
      </w:r>
    </w:p>
    <w:p w:rsidR="00C77492" w:rsidRDefault="00C77492" w:rsidP="003A35BD">
      <w:pPr>
        <w:autoSpaceDE w:val="0"/>
        <w:autoSpaceDN w:val="0"/>
        <w:adjustRightInd w:val="0"/>
        <w:jc w:val="both"/>
        <w:rPr>
          <w:rFonts w:ascii="Palatino Linotype" w:hAnsi="Palatino Linotype"/>
          <w:sz w:val="22"/>
          <w:szCs w:val="22"/>
          <w:lang w:eastAsia="en-US"/>
        </w:rPr>
      </w:pPr>
    </w:p>
    <w:p w:rsidR="00C77492" w:rsidRDefault="00B14724" w:rsidP="00417EDC">
      <w:pPr>
        <w:autoSpaceDE w:val="0"/>
        <w:autoSpaceDN w:val="0"/>
        <w:adjustRightInd w:val="0"/>
        <w:jc w:val="both"/>
        <w:rPr>
          <w:rFonts w:ascii="Palatino Linotype" w:hAnsi="Palatino Linotype"/>
          <w:sz w:val="22"/>
          <w:szCs w:val="22"/>
          <w:lang w:eastAsia="en-US"/>
        </w:rPr>
      </w:pPr>
      <w:r w:rsidRPr="009E4B29">
        <w:rPr>
          <w:rFonts w:ascii="Palatino Linotype" w:hAnsi="Palatino Linotype"/>
          <w:sz w:val="22"/>
          <w:szCs w:val="22"/>
          <w:lang w:eastAsia="en-US"/>
        </w:rPr>
        <w:t xml:space="preserve">En ce qui concerne l’Afrique du Nord, </w:t>
      </w:r>
      <w:proofErr w:type="spellStart"/>
      <w:r w:rsidRPr="009E4B29">
        <w:rPr>
          <w:rFonts w:ascii="Palatino Linotype" w:hAnsi="Palatino Linotype"/>
          <w:sz w:val="22"/>
          <w:szCs w:val="22"/>
          <w:lang w:eastAsia="en-US"/>
        </w:rPr>
        <w:t>Beji</w:t>
      </w:r>
      <w:proofErr w:type="spellEnd"/>
      <w:r w:rsidRPr="009E4B29">
        <w:rPr>
          <w:rFonts w:ascii="Palatino Linotype" w:hAnsi="Palatino Linotype"/>
          <w:sz w:val="22"/>
          <w:szCs w:val="22"/>
          <w:lang w:eastAsia="en-US"/>
        </w:rPr>
        <w:t xml:space="preserve"> (2010)</w:t>
      </w:r>
      <w:r w:rsidRPr="009E4B29">
        <w:rPr>
          <w:rStyle w:val="Appelnotedebasdep"/>
          <w:rFonts w:ascii="Palatino Linotype" w:hAnsi="Palatino Linotype"/>
          <w:sz w:val="22"/>
          <w:szCs w:val="22"/>
          <w:lang w:eastAsia="en-US"/>
        </w:rPr>
        <w:footnoteReference w:id="2"/>
      </w:r>
      <w:r w:rsidRPr="009E4B29">
        <w:rPr>
          <w:rFonts w:ascii="Palatino Linotype" w:hAnsi="Palatino Linotype"/>
          <w:sz w:val="22"/>
          <w:szCs w:val="22"/>
          <w:lang w:eastAsia="en-US"/>
        </w:rPr>
        <w:t xml:space="preserve">, à partir d’un échantillon de pays du sud de la </w:t>
      </w:r>
      <w:r w:rsidR="00417EDC">
        <w:rPr>
          <w:rFonts w:ascii="Palatino Linotype" w:hAnsi="Palatino Linotype"/>
          <w:sz w:val="22"/>
          <w:szCs w:val="22"/>
          <w:lang w:eastAsia="en-US"/>
        </w:rPr>
        <w:t>M</w:t>
      </w:r>
      <w:r w:rsidRPr="009E4B29">
        <w:rPr>
          <w:rFonts w:ascii="Palatino Linotype" w:hAnsi="Palatino Linotype"/>
          <w:sz w:val="22"/>
          <w:szCs w:val="22"/>
          <w:lang w:eastAsia="en-US"/>
        </w:rPr>
        <w:t>éditerranée contenant l’Algérie, le Maroc, l’Egypte, la Tunisie et la Lybie a montré  que l’ouverture commerciale est une condition nécessaire à la réussite de l’ouverture du compte capital</w:t>
      </w:r>
      <w:r w:rsidR="00EA1F10" w:rsidRPr="009E4B29">
        <w:rPr>
          <w:rFonts w:ascii="Palatino Linotype" w:hAnsi="Palatino Linotype"/>
          <w:sz w:val="22"/>
          <w:szCs w:val="22"/>
          <w:lang w:eastAsia="en-US"/>
        </w:rPr>
        <w:t xml:space="preserve"> </w:t>
      </w:r>
      <w:r w:rsidRPr="009E4B29">
        <w:rPr>
          <w:rFonts w:ascii="Palatino Linotype" w:hAnsi="Palatino Linotype"/>
          <w:sz w:val="22"/>
          <w:szCs w:val="22"/>
          <w:lang w:eastAsia="en-US"/>
        </w:rPr>
        <w:t>et donc de l’intégration financière</w:t>
      </w:r>
      <w:r w:rsidR="00EA1F10" w:rsidRPr="009E4B29">
        <w:rPr>
          <w:rFonts w:ascii="Palatino Linotype" w:hAnsi="Palatino Linotype"/>
          <w:sz w:val="22"/>
          <w:szCs w:val="22"/>
          <w:lang w:eastAsia="en-US"/>
        </w:rPr>
        <w:t xml:space="preserve">. </w:t>
      </w:r>
      <w:r w:rsidRPr="009E4B29">
        <w:rPr>
          <w:rFonts w:ascii="Palatino Linotype" w:hAnsi="Palatino Linotype"/>
          <w:sz w:val="22"/>
          <w:szCs w:val="22"/>
          <w:lang w:eastAsia="en-US"/>
        </w:rPr>
        <w:t>Le fait, toutefois est qu’avec les avantages potentiels de l’intégration financière, même en absence d’intégration commerciale, il peut être utile de reconsidérer la question. En effet, L’intégration financière obéit à ses propres finalités m</w:t>
      </w:r>
      <w:r w:rsidR="007C7007" w:rsidRPr="009E4B29">
        <w:rPr>
          <w:rFonts w:ascii="Palatino Linotype" w:hAnsi="Palatino Linotype"/>
          <w:sz w:val="22"/>
          <w:szCs w:val="22"/>
          <w:lang w:eastAsia="en-US"/>
        </w:rPr>
        <w:t xml:space="preserve">ais peut apporter une contribution </w:t>
      </w:r>
      <w:r w:rsidRPr="009E4B29">
        <w:rPr>
          <w:rFonts w:ascii="Palatino Linotype" w:hAnsi="Palatino Linotype"/>
          <w:sz w:val="22"/>
          <w:szCs w:val="22"/>
          <w:lang w:eastAsia="en-US"/>
        </w:rPr>
        <w:t xml:space="preserve">positive à la constitution d’un bloc régional. </w:t>
      </w:r>
    </w:p>
    <w:p w:rsidR="00C77492" w:rsidRDefault="00C77492" w:rsidP="003A35BD">
      <w:pPr>
        <w:autoSpaceDE w:val="0"/>
        <w:autoSpaceDN w:val="0"/>
        <w:adjustRightInd w:val="0"/>
        <w:jc w:val="both"/>
        <w:rPr>
          <w:rFonts w:ascii="Palatino Linotype" w:hAnsi="Palatino Linotype"/>
          <w:sz w:val="22"/>
          <w:szCs w:val="22"/>
          <w:lang w:eastAsia="en-US"/>
        </w:rPr>
      </w:pPr>
    </w:p>
    <w:p w:rsidR="00C77492" w:rsidRDefault="00B14724" w:rsidP="003A35BD">
      <w:pPr>
        <w:autoSpaceDE w:val="0"/>
        <w:autoSpaceDN w:val="0"/>
        <w:adjustRightInd w:val="0"/>
        <w:jc w:val="both"/>
        <w:rPr>
          <w:rFonts w:ascii="Palatino Linotype" w:hAnsi="Palatino Linotype"/>
          <w:sz w:val="22"/>
          <w:szCs w:val="22"/>
          <w:lang w:eastAsia="en-US"/>
        </w:rPr>
      </w:pPr>
      <w:r w:rsidRPr="009E4B29">
        <w:rPr>
          <w:rFonts w:ascii="Palatino Linotype" w:hAnsi="Palatino Linotype"/>
          <w:sz w:val="22"/>
          <w:szCs w:val="22"/>
          <w:lang w:eastAsia="en-US"/>
        </w:rPr>
        <w:t>Théoriquement, l’intégration</w:t>
      </w:r>
      <w:r w:rsidR="00D52713" w:rsidRPr="009E4B29">
        <w:rPr>
          <w:rFonts w:ascii="Palatino Linotype" w:hAnsi="Palatino Linotype"/>
          <w:sz w:val="22"/>
          <w:szCs w:val="22"/>
          <w:lang w:eastAsia="en-US"/>
        </w:rPr>
        <w:t xml:space="preserve"> </w:t>
      </w:r>
      <w:r w:rsidRPr="009E4B29">
        <w:rPr>
          <w:rFonts w:ascii="Palatino Linotype" w:hAnsi="Palatino Linotype"/>
          <w:sz w:val="22"/>
          <w:szCs w:val="22"/>
          <w:lang w:eastAsia="en-US"/>
        </w:rPr>
        <w:t>financière se manifeste par une mobilité croissante des capitaux au sein de la région</w:t>
      </w:r>
      <w:r w:rsidR="00D52713" w:rsidRPr="009E4B29">
        <w:rPr>
          <w:rFonts w:ascii="Palatino Linotype" w:hAnsi="Palatino Linotype"/>
          <w:sz w:val="22"/>
          <w:szCs w:val="22"/>
          <w:lang w:eastAsia="en-US"/>
        </w:rPr>
        <w:t xml:space="preserve"> </w:t>
      </w:r>
      <w:r w:rsidRPr="009E4B29">
        <w:rPr>
          <w:rFonts w:ascii="Palatino Linotype" w:hAnsi="Palatino Linotype"/>
          <w:sz w:val="22"/>
          <w:szCs w:val="22"/>
          <w:lang w:eastAsia="en-US"/>
        </w:rPr>
        <w:t>jusqu’à former à l’étape ultime un seul marché intégré. Le volume de ce marché régional</w:t>
      </w:r>
      <w:r w:rsidR="00D52713" w:rsidRPr="009E4B29">
        <w:rPr>
          <w:rFonts w:ascii="Palatino Linotype" w:hAnsi="Palatino Linotype"/>
          <w:sz w:val="22"/>
          <w:szCs w:val="22"/>
          <w:lang w:eastAsia="en-US"/>
        </w:rPr>
        <w:t xml:space="preserve"> </w:t>
      </w:r>
      <w:r w:rsidRPr="009E4B29">
        <w:rPr>
          <w:rFonts w:ascii="Palatino Linotype" w:hAnsi="Palatino Linotype"/>
          <w:sz w:val="22"/>
          <w:szCs w:val="22"/>
          <w:lang w:eastAsia="en-US"/>
        </w:rPr>
        <w:t>étant plus élevé, il doit en résulter une baisse des taux d’intérêt avec un effet positif sur</w:t>
      </w:r>
      <w:r w:rsidR="00D52713" w:rsidRPr="009E4B29">
        <w:rPr>
          <w:rFonts w:ascii="Palatino Linotype" w:hAnsi="Palatino Linotype"/>
          <w:sz w:val="22"/>
          <w:szCs w:val="22"/>
          <w:lang w:eastAsia="en-US"/>
        </w:rPr>
        <w:t xml:space="preserve"> </w:t>
      </w:r>
      <w:r w:rsidRPr="009E4B29">
        <w:rPr>
          <w:rFonts w:ascii="Palatino Linotype" w:hAnsi="Palatino Linotype"/>
          <w:sz w:val="22"/>
          <w:szCs w:val="22"/>
          <w:lang w:eastAsia="en-US"/>
        </w:rPr>
        <w:t>la croissance régionale. Le deuxième avantage de l’intégration financière est de faciliter</w:t>
      </w:r>
      <w:r w:rsidR="00D52713" w:rsidRPr="009E4B29">
        <w:rPr>
          <w:rFonts w:ascii="Palatino Linotype" w:hAnsi="Palatino Linotype"/>
          <w:sz w:val="22"/>
          <w:szCs w:val="22"/>
          <w:lang w:eastAsia="en-US"/>
        </w:rPr>
        <w:t xml:space="preserve"> </w:t>
      </w:r>
      <w:r w:rsidRPr="009E4B29">
        <w:rPr>
          <w:rFonts w:ascii="Palatino Linotype" w:hAnsi="Palatino Linotype"/>
          <w:sz w:val="22"/>
          <w:szCs w:val="22"/>
          <w:lang w:eastAsia="en-US"/>
        </w:rPr>
        <w:t>la diversification des risques, en permettant de répartir le portefeuille d’investissement</w:t>
      </w:r>
      <w:r w:rsidR="00D52713" w:rsidRPr="009E4B29">
        <w:rPr>
          <w:rFonts w:ascii="Palatino Linotype" w:hAnsi="Palatino Linotype"/>
          <w:sz w:val="22"/>
          <w:szCs w:val="22"/>
          <w:lang w:eastAsia="en-US"/>
        </w:rPr>
        <w:t xml:space="preserve"> </w:t>
      </w:r>
      <w:r w:rsidRPr="009E4B29">
        <w:rPr>
          <w:rFonts w:ascii="Palatino Linotype" w:hAnsi="Palatino Linotype"/>
          <w:sz w:val="22"/>
          <w:szCs w:val="22"/>
          <w:lang w:eastAsia="en-US"/>
        </w:rPr>
        <w:t>entre les actions et obligations des différents pays membres. Les chocs</w:t>
      </w:r>
      <w:r w:rsidR="00D52713" w:rsidRPr="009E4B29">
        <w:rPr>
          <w:rFonts w:ascii="Palatino Linotype" w:hAnsi="Palatino Linotype"/>
          <w:sz w:val="22"/>
          <w:szCs w:val="22"/>
          <w:lang w:eastAsia="en-US"/>
        </w:rPr>
        <w:t xml:space="preserve"> </w:t>
      </w:r>
      <w:r w:rsidRPr="009E4B29">
        <w:rPr>
          <w:rFonts w:ascii="Palatino Linotype" w:hAnsi="Palatino Linotype"/>
          <w:sz w:val="22"/>
          <w:szCs w:val="22"/>
          <w:lang w:eastAsia="en-US"/>
        </w:rPr>
        <w:t xml:space="preserve">macroéconomiques devraient être théoriquement mieux absorbés. </w:t>
      </w:r>
    </w:p>
    <w:p w:rsidR="00C77492" w:rsidRDefault="00C77492" w:rsidP="003A35BD">
      <w:pPr>
        <w:autoSpaceDE w:val="0"/>
        <w:autoSpaceDN w:val="0"/>
        <w:adjustRightInd w:val="0"/>
        <w:jc w:val="both"/>
        <w:rPr>
          <w:rFonts w:ascii="Palatino Linotype" w:hAnsi="Palatino Linotype"/>
          <w:sz w:val="22"/>
          <w:szCs w:val="22"/>
          <w:lang w:eastAsia="en-US"/>
        </w:rPr>
      </w:pPr>
    </w:p>
    <w:p w:rsidR="00D52713" w:rsidRPr="009E4B29" w:rsidRDefault="00B14724" w:rsidP="003A35BD">
      <w:pPr>
        <w:autoSpaceDE w:val="0"/>
        <w:autoSpaceDN w:val="0"/>
        <w:adjustRightInd w:val="0"/>
        <w:jc w:val="both"/>
        <w:rPr>
          <w:rFonts w:ascii="Palatino Linotype" w:hAnsi="Palatino Linotype"/>
          <w:color w:val="231F20"/>
          <w:sz w:val="22"/>
          <w:szCs w:val="22"/>
          <w:lang w:eastAsia="en-US"/>
        </w:rPr>
      </w:pPr>
      <w:r w:rsidRPr="009E4B29">
        <w:rPr>
          <w:rFonts w:ascii="Palatino Linotype" w:hAnsi="Palatino Linotype"/>
          <w:sz w:val="22"/>
          <w:szCs w:val="22"/>
          <w:lang w:eastAsia="en-US"/>
        </w:rPr>
        <w:t>La question qui se</w:t>
      </w:r>
      <w:r w:rsidR="00D52713" w:rsidRPr="009E4B29">
        <w:rPr>
          <w:rFonts w:ascii="Palatino Linotype" w:hAnsi="Palatino Linotype"/>
          <w:sz w:val="22"/>
          <w:szCs w:val="22"/>
          <w:lang w:eastAsia="en-US"/>
        </w:rPr>
        <w:t xml:space="preserve"> </w:t>
      </w:r>
      <w:r w:rsidRPr="009E4B29">
        <w:rPr>
          <w:rFonts w:ascii="Palatino Linotype" w:hAnsi="Palatino Linotype"/>
          <w:sz w:val="22"/>
          <w:szCs w:val="22"/>
          <w:lang w:eastAsia="en-US"/>
        </w:rPr>
        <w:t xml:space="preserve">pose </w:t>
      </w:r>
      <w:r w:rsidR="00D52713" w:rsidRPr="009E4B29">
        <w:rPr>
          <w:rFonts w:ascii="Palatino Linotype" w:hAnsi="Palatino Linotype"/>
          <w:sz w:val="22"/>
          <w:szCs w:val="22"/>
          <w:lang w:eastAsia="en-US"/>
        </w:rPr>
        <w:t xml:space="preserve">selon certains économistes est plutôt </w:t>
      </w:r>
      <w:r w:rsidRPr="009E4B29">
        <w:rPr>
          <w:rFonts w:ascii="Palatino Linotype" w:hAnsi="Palatino Linotype"/>
          <w:sz w:val="22"/>
          <w:szCs w:val="22"/>
          <w:lang w:eastAsia="en-US"/>
        </w:rPr>
        <w:t>de savoir si ces avantages peuvent ou non</w:t>
      </w:r>
      <w:r w:rsidR="007C7007" w:rsidRPr="009E4B29">
        <w:rPr>
          <w:rFonts w:ascii="Palatino Linotype" w:hAnsi="Palatino Linotype"/>
          <w:sz w:val="22"/>
          <w:szCs w:val="22"/>
          <w:lang w:eastAsia="en-US"/>
        </w:rPr>
        <w:t xml:space="preserve"> (ou doivent ou non)</w:t>
      </w:r>
      <w:r w:rsidRPr="009E4B29">
        <w:rPr>
          <w:rFonts w:ascii="Palatino Linotype" w:hAnsi="Palatino Linotype"/>
          <w:sz w:val="22"/>
          <w:szCs w:val="22"/>
          <w:lang w:eastAsia="en-US"/>
        </w:rPr>
        <w:t xml:space="preserve"> se manifester dans le contexte d’un</w:t>
      </w:r>
      <w:r w:rsidR="00D52713" w:rsidRPr="009E4B29">
        <w:rPr>
          <w:rFonts w:ascii="Palatino Linotype" w:hAnsi="Palatino Linotype"/>
          <w:sz w:val="22"/>
          <w:szCs w:val="22"/>
          <w:lang w:eastAsia="en-US"/>
        </w:rPr>
        <w:t xml:space="preserve"> </w:t>
      </w:r>
      <w:r w:rsidRPr="009E4B29">
        <w:rPr>
          <w:rFonts w:ascii="Palatino Linotype" w:hAnsi="Palatino Linotype"/>
          <w:sz w:val="22"/>
          <w:szCs w:val="22"/>
          <w:lang w:eastAsia="en-US"/>
        </w:rPr>
        <w:t>processus d’intégration monétaire.</w:t>
      </w:r>
      <w:r w:rsidR="00D52713" w:rsidRPr="009E4B29">
        <w:rPr>
          <w:rFonts w:ascii="Palatino Linotype" w:hAnsi="Palatino Linotype"/>
          <w:sz w:val="22"/>
          <w:szCs w:val="22"/>
          <w:lang w:eastAsia="en-US"/>
        </w:rPr>
        <w:t xml:space="preserve"> D’un point de vue empirique, certains avantages de l’intégration financière ont pu être mis en évidence à travers son lien avec la croissance économique. </w:t>
      </w:r>
      <w:r w:rsidR="004A0CB7" w:rsidRPr="009E4B29">
        <w:rPr>
          <w:rFonts w:ascii="Palatino Linotype" w:hAnsi="Palatino Linotype"/>
          <w:sz w:val="22"/>
          <w:szCs w:val="22"/>
          <w:lang w:eastAsia="en-US"/>
        </w:rPr>
        <w:t xml:space="preserve">Ainsi, </w:t>
      </w:r>
      <w:proofErr w:type="spellStart"/>
      <w:r w:rsidR="004A0CB7" w:rsidRPr="009E4B29">
        <w:rPr>
          <w:rFonts w:ascii="Palatino Linotype" w:hAnsi="Palatino Linotype"/>
          <w:sz w:val="22"/>
          <w:szCs w:val="22"/>
          <w:lang w:eastAsia="en-US"/>
        </w:rPr>
        <w:t>Mensi</w:t>
      </w:r>
      <w:proofErr w:type="spellEnd"/>
      <w:r w:rsidR="004A0CB7" w:rsidRPr="009E4B29">
        <w:rPr>
          <w:rFonts w:ascii="Palatino Linotype" w:hAnsi="Palatino Linotype"/>
          <w:sz w:val="22"/>
          <w:szCs w:val="22"/>
          <w:lang w:eastAsia="en-US"/>
        </w:rPr>
        <w:t xml:space="preserve"> et al (2010)</w:t>
      </w:r>
      <w:r w:rsidR="004A0CB7" w:rsidRPr="009E4B29">
        <w:rPr>
          <w:rStyle w:val="Appelnotedebasdep"/>
          <w:rFonts w:ascii="Palatino Linotype" w:hAnsi="Palatino Linotype"/>
          <w:sz w:val="22"/>
          <w:szCs w:val="22"/>
          <w:lang w:eastAsia="en-US"/>
        </w:rPr>
        <w:footnoteReference w:id="3"/>
      </w:r>
      <w:r w:rsidR="004A0CB7" w:rsidRPr="009E4B29">
        <w:rPr>
          <w:rFonts w:ascii="Palatino Linotype" w:hAnsi="Palatino Linotype"/>
          <w:sz w:val="22"/>
          <w:szCs w:val="22"/>
          <w:lang w:eastAsia="en-US"/>
        </w:rPr>
        <w:t xml:space="preserve"> </w:t>
      </w:r>
      <w:r w:rsidR="00D52713" w:rsidRPr="009E4B29">
        <w:rPr>
          <w:rFonts w:ascii="Palatino Linotype" w:hAnsi="Palatino Linotype"/>
          <w:color w:val="231F20"/>
          <w:sz w:val="22"/>
          <w:szCs w:val="22"/>
          <w:lang w:eastAsia="en-US"/>
        </w:rPr>
        <w:t>révèle</w:t>
      </w:r>
      <w:r w:rsidR="007C7007" w:rsidRPr="009E4B29">
        <w:rPr>
          <w:rFonts w:ascii="Palatino Linotype" w:hAnsi="Palatino Linotype"/>
          <w:color w:val="231F20"/>
          <w:sz w:val="22"/>
          <w:szCs w:val="22"/>
          <w:lang w:eastAsia="en-US"/>
        </w:rPr>
        <w:t>nt</w:t>
      </w:r>
      <w:r w:rsidR="00D52713" w:rsidRPr="009E4B29">
        <w:rPr>
          <w:rFonts w:ascii="Palatino Linotype" w:hAnsi="Palatino Linotype"/>
          <w:color w:val="231F20"/>
          <w:sz w:val="22"/>
          <w:szCs w:val="22"/>
          <w:lang w:eastAsia="en-US"/>
        </w:rPr>
        <w:t xml:space="preserve"> que la relation directe entre l’intégration financière et la croissance économique est positive et stable. </w:t>
      </w:r>
      <w:r w:rsidR="008945C6" w:rsidRPr="009E4B29">
        <w:rPr>
          <w:rFonts w:ascii="Palatino Linotype" w:hAnsi="Palatino Linotype"/>
          <w:color w:val="231F20"/>
          <w:sz w:val="22"/>
          <w:szCs w:val="22"/>
          <w:lang w:eastAsia="en-US"/>
        </w:rPr>
        <w:t xml:space="preserve">De plus, </w:t>
      </w:r>
      <w:r w:rsidR="004A0CB7" w:rsidRPr="009E4B29">
        <w:rPr>
          <w:rFonts w:ascii="Palatino Linotype" w:hAnsi="Palatino Linotype"/>
          <w:color w:val="231F20"/>
          <w:sz w:val="22"/>
          <w:szCs w:val="22"/>
          <w:lang w:eastAsia="en-US"/>
        </w:rPr>
        <w:t xml:space="preserve">ils montrent </w:t>
      </w:r>
      <w:r w:rsidR="00D52713" w:rsidRPr="009E4B29">
        <w:rPr>
          <w:rFonts w:ascii="Palatino Linotype" w:hAnsi="Palatino Linotype"/>
          <w:color w:val="231F20"/>
          <w:sz w:val="22"/>
          <w:szCs w:val="22"/>
          <w:lang w:eastAsia="en-US"/>
        </w:rPr>
        <w:t xml:space="preserve">l’existence d’une relation faible entre la croissance économique et l’instabilité financière, ce qui laisse à supposer que les pays de </w:t>
      </w:r>
      <w:r w:rsidR="007C7007" w:rsidRPr="009E4B29">
        <w:rPr>
          <w:rFonts w:ascii="Palatino Linotype" w:hAnsi="Palatino Linotype"/>
          <w:color w:val="231F20"/>
          <w:sz w:val="22"/>
          <w:szCs w:val="22"/>
          <w:lang w:eastAsia="en-US"/>
        </w:rPr>
        <w:t xml:space="preserve">leur </w:t>
      </w:r>
      <w:r w:rsidR="00D52713" w:rsidRPr="009E4B29">
        <w:rPr>
          <w:rFonts w:ascii="Palatino Linotype" w:hAnsi="Palatino Linotype"/>
          <w:color w:val="231F20"/>
          <w:sz w:val="22"/>
          <w:szCs w:val="22"/>
          <w:lang w:eastAsia="en-US"/>
        </w:rPr>
        <w:t xml:space="preserve"> échantillon ne sont pas financièrement déstabilisés</w:t>
      </w:r>
      <w:r w:rsidR="004A0CB7" w:rsidRPr="009E4B29">
        <w:rPr>
          <w:rFonts w:ascii="Palatino Linotype" w:hAnsi="Palatino Linotype"/>
          <w:color w:val="231F20"/>
          <w:sz w:val="22"/>
          <w:szCs w:val="22"/>
          <w:lang w:eastAsia="en-US"/>
        </w:rPr>
        <w:t xml:space="preserve"> et que par ailleurs </w:t>
      </w:r>
      <w:r w:rsidR="00D52713" w:rsidRPr="009E4B29">
        <w:rPr>
          <w:rFonts w:ascii="Palatino Linotype" w:hAnsi="Palatino Linotype"/>
          <w:color w:val="231F20"/>
          <w:sz w:val="22"/>
          <w:szCs w:val="22"/>
          <w:lang w:eastAsia="en-US"/>
        </w:rPr>
        <w:t>l’instabilité financière n’affecte pas les effets positifs de l’intégration financière</w:t>
      </w:r>
      <w:r w:rsidR="004A0CB7" w:rsidRPr="009E4B29">
        <w:rPr>
          <w:rFonts w:ascii="Palatino Linotype" w:hAnsi="Palatino Linotype"/>
          <w:color w:val="231F20"/>
          <w:sz w:val="22"/>
          <w:szCs w:val="22"/>
          <w:lang w:eastAsia="en-US"/>
        </w:rPr>
        <w:t xml:space="preserve"> </w:t>
      </w:r>
      <w:r w:rsidR="00D52713" w:rsidRPr="009E4B29">
        <w:rPr>
          <w:rFonts w:ascii="Palatino Linotype" w:hAnsi="Palatino Linotype"/>
          <w:color w:val="231F20"/>
          <w:sz w:val="22"/>
          <w:szCs w:val="22"/>
          <w:lang w:eastAsia="en-US"/>
        </w:rPr>
        <w:t>sur l</w:t>
      </w:r>
      <w:r w:rsidR="007C7007" w:rsidRPr="009E4B29">
        <w:rPr>
          <w:rFonts w:ascii="Palatino Linotype" w:hAnsi="Palatino Linotype"/>
          <w:color w:val="231F20"/>
          <w:sz w:val="22"/>
          <w:szCs w:val="22"/>
          <w:lang w:eastAsia="en-US"/>
        </w:rPr>
        <w:t>eur</w:t>
      </w:r>
      <w:r w:rsidR="00D52713" w:rsidRPr="009E4B29">
        <w:rPr>
          <w:rFonts w:ascii="Palatino Linotype" w:hAnsi="Palatino Linotype"/>
          <w:color w:val="231F20"/>
          <w:sz w:val="22"/>
          <w:szCs w:val="22"/>
          <w:lang w:eastAsia="en-US"/>
        </w:rPr>
        <w:t xml:space="preserve"> croissance économique</w:t>
      </w:r>
      <w:r w:rsidR="004A0CB7" w:rsidRPr="009E4B29">
        <w:rPr>
          <w:rFonts w:ascii="Palatino Linotype" w:hAnsi="Palatino Linotype"/>
          <w:color w:val="231F20"/>
          <w:sz w:val="22"/>
          <w:szCs w:val="22"/>
          <w:lang w:eastAsia="en-US"/>
        </w:rPr>
        <w:t>.</w:t>
      </w:r>
      <w:r w:rsidR="00D52713" w:rsidRPr="009E4B29">
        <w:rPr>
          <w:rFonts w:ascii="Palatino Linotype" w:hAnsi="Palatino Linotype"/>
          <w:color w:val="231F20"/>
          <w:sz w:val="22"/>
          <w:szCs w:val="22"/>
          <w:lang w:eastAsia="en-US"/>
        </w:rPr>
        <w:t xml:space="preserve"> </w:t>
      </w:r>
    </w:p>
    <w:p w:rsidR="0005325C" w:rsidRPr="009E4B29" w:rsidRDefault="0005325C" w:rsidP="003A35BD">
      <w:pPr>
        <w:autoSpaceDE w:val="0"/>
        <w:autoSpaceDN w:val="0"/>
        <w:adjustRightInd w:val="0"/>
        <w:jc w:val="both"/>
        <w:rPr>
          <w:rFonts w:ascii="Palatino Linotype" w:hAnsi="Palatino Linotype"/>
          <w:color w:val="231F20"/>
          <w:sz w:val="22"/>
          <w:szCs w:val="22"/>
          <w:lang w:eastAsia="en-US"/>
        </w:rPr>
      </w:pPr>
    </w:p>
    <w:p w:rsidR="0005325C" w:rsidRPr="009E4B29" w:rsidRDefault="008C5F7C" w:rsidP="00705FA6">
      <w:pPr>
        <w:autoSpaceDE w:val="0"/>
        <w:autoSpaceDN w:val="0"/>
        <w:adjustRightInd w:val="0"/>
        <w:spacing w:after="120"/>
        <w:jc w:val="both"/>
        <w:rPr>
          <w:rFonts w:ascii="Palatino Linotype" w:hAnsi="Palatino Linotype"/>
          <w:color w:val="231F20"/>
          <w:sz w:val="22"/>
          <w:szCs w:val="22"/>
          <w:lang w:eastAsia="en-US"/>
        </w:rPr>
      </w:pPr>
      <w:r w:rsidRPr="009E4B29">
        <w:rPr>
          <w:rFonts w:ascii="Palatino Linotype" w:hAnsi="Palatino Linotype"/>
          <w:color w:val="231F20"/>
          <w:sz w:val="22"/>
          <w:szCs w:val="22"/>
          <w:lang w:eastAsia="en-US"/>
        </w:rPr>
        <w:t xml:space="preserve">Au delà des ces oppositions théoriques et des contradictions empiriques, on devrait </w:t>
      </w:r>
      <w:r w:rsidR="00067EB3" w:rsidRPr="009E4B29">
        <w:rPr>
          <w:rFonts w:ascii="Palatino Linotype" w:hAnsi="Palatino Linotype"/>
          <w:color w:val="231F20"/>
          <w:sz w:val="22"/>
          <w:szCs w:val="22"/>
          <w:lang w:eastAsia="en-US"/>
        </w:rPr>
        <w:t>r</w:t>
      </w:r>
      <w:r w:rsidRPr="009E4B29">
        <w:rPr>
          <w:rFonts w:ascii="Palatino Linotype" w:hAnsi="Palatino Linotype"/>
          <w:color w:val="231F20"/>
          <w:sz w:val="22"/>
          <w:szCs w:val="22"/>
          <w:lang w:eastAsia="en-US"/>
        </w:rPr>
        <w:t xml:space="preserve">econnaitre avec </w:t>
      </w:r>
      <w:proofErr w:type="spellStart"/>
      <w:r w:rsidRPr="009E4B29">
        <w:rPr>
          <w:rFonts w:ascii="Palatino Linotype" w:hAnsi="Palatino Linotype"/>
          <w:color w:val="231F20"/>
          <w:sz w:val="22"/>
          <w:szCs w:val="22"/>
          <w:lang w:eastAsia="en-US"/>
        </w:rPr>
        <w:t>Turunc</w:t>
      </w:r>
      <w:proofErr w:type="spellEnd"/>
      <w:r w:rsidRPr="009E4B29">
        <w:rPr>
          <w:rFonts w:ascii="Palatino Linotype" w:hAnsi="Palatino Linotype"/>
          <w:color w:val="231F20"/>
          <w:sz w:val="22"/>
          <w:szCs w:val="22"/>
          <w:lang w:eastAsia="en-US"/>
        </w:rPr>
        <w:t xml:space="preserve"> (1999)</w:t>
      </w:r>
      <w:r w:rsidRPr="009E4B29">
        <w:rPr>
          <w:rStyle w:val="Appelnotedebasdep"/>
          <w:rFonts w:ascii="Palatino Linotype" w:hAnsi="Palatino Linotype"/>
          <w:color w:val="231F20"/>
          <w:sz w:val="22"/>
          <w:szCs w:val="22"/>
          <w:lang w:eastAsia="en-US"/>
        </w:rPr>
        <w:footnoteReference w:id="4"/>
      </w:r>
      <w:r w:rsidRPr="009E4B29">
        <w:rPr>
          <w:rFonts w:ascii="Palatino Linotype" w:hAnsi="Palatino Linotype"/>
          <w:color w:val="231F20"/>
          <w:sz w:val="22"/>
          <w:szCs w:val="22"/>
          <w:lang w:eastAsia="en-US"/>
        </w:rPr>
        <w:t xml:space="preserve">, </w:t>
      </w:r>
      <w:r w:rsidR="00067EB3" w:rsidRPr="009E4B29">
        <w:rPr>
          <w:rFonts w:ascii="Palatino Linotype" w:hAnsi="Palatino Linotype"/>
          <w:color w:val="231F20"/>
          <w:sz w:val="22"/>
          <w:szCs w:val="22"/>
          <w:lang w:eastAsia="en-US"/>
        </w:rPr>
        <w:t xml:space="preserve">qu’un système financier efficient active le développement économique tout en l’orientant. Il permet d’assurer le fonctionnement d’un système de paiement efficace et évolutif </w:t>
      </w:r>
      <w:r w:rsidR="00067EB3" w:rsidRPr="009E4B29">
        <w:rPr>
          <w:rFonts w:ascii="Palatino Linotype" w:hAnsi="Palatino Linotype"/>
          <w:color w:val="231F20"/>
          <w:sz w:val="22"/>
          <w:szCs w:val="22"/>
          <w:lang w:eastAsia="en-US"/>
        </w:rPr>
        <w:lastRenderedPageBreak/>
        <w:t xml:space="preserve">capable de mobiliser l’épargne et d’améliorer son affectation à l’investissement. </w:t>
      </w:r>
      <w:r w:rsidR="0013617F" w:rsidRPr="009E4B29">
        <w:rPr>
          <w:rFonts w:ascii="Palatino Linotype" w:hAnsi="Palatino Linotype"/>
          <w:color w:val="231F20"/>
          <w:sz w:val="22"/>
          <w:szCs w:val="22"/>
          <w:lang w:eastAsia="en-US"/>
        </w:rPr>
        <w:t>Ceci est vrai aussi bien au niveau pays que dans un espace plus large intégrant plusieurs pays.  En fait, tous les pays d’Afrique du Nord ont entrepris une revue de leur secteur financier dans le cadre du programme FSAP piloté par le FMI et la Banque Mondiale (CEA-AN, 2008)</w:t>
      </w:r>
      <w:r w:rsidR="0013617F" w:rsidRPr="009E4B29">
        <w:rPr>
          <w:rStyle w:val="Appelnotedebasdep"/>
          <w:rFonts w:ascii="Palatino Linotype" w:hAnsi="Palatino Linotype"/>
          <w:color w:val="231F20"/>
          <w:sz w:val="22"/>
          <w:szCs w:val="22"/>
          <w:lang w:eastAsia="en-US"/>
        </w:rPr>
        <w:footnoteReference w:id="5"/>
      </w:r>
      <w:r w:rsidR="0013617F" w:rsidRPr="009E4B29">
        <w:rPr>
          <w:rFonts w:ascii="Palatino Linotype" w:hAnsi="Palatino Linotype"/>
          <w:color w:val="231F20"/>
          <w:sz w:val="22"/>
          <w:szCs w:val="22"/>
          <w:lang w:eastAsia="en-US"/>
        </w:rPr>
        <w:t xml:space="preserve"> . Ces pays sont ainsi dans l'ensemble engagés dans la mise en œuvre de recommandations issues du FSAP</w:t>
      </w:r>
      <w:r w:rsidR="007C7007" w:rsidRPr="009E4B29">
        <w:rPr>
          <w:rStyle w:val="Appelnotedebasdep"/>
          <w:rFonts w:ascii="Palatino Linotype" w:hAnsi="Palatino Linotype"/>
          <w:color w:val="231F20"/>
          <w:sz w:val="22"/>
          <w:szCs w:val="22"/>
          <w:lang w:eastAsia="en-US"/>
        </w:rPr>
        <w:footnoteReference w:id="6"/>
      </w:r>
      <w:r w:rsidR="0013617F" w:rsidRPr="009E4B29">
        <w:rPr>
          <w:rFonts w:ascii="Palatino Linotype" w:hAnsi="Palatino Linotype"/>
          <w:color w:val="231F20"/>
          <w:sz w:val="22"/>
          <w:szCs w:val="22"/>
          <w:lang w:eastAsia="en-US"/>
        </w:rPr>
        <w:t xml:space="preserve">. Il reste néanmoins vrai qu'il existe des disparités importantes en termes de développement du secteur financier et du cadre de supervision bancaire </w:t>
      </w:r>
      <w:r w:rsidR="000A1D22" w:rsidRPr="009E4B29">
        <w:rPr>
          <w:rFonts w:ascii="Palatino Linotype" w:hAnsi="Palatino Linotype"/>
          <w:color w:val="231F20"/>
          <w:sz w:val="22"/>
          <w:szCs w:val="22"/>
          <w:lang w:eastAsia="en-US"/>
        </w:rPr>
        <w:t>entre les pays de l'Afrique du N</w:t>
      </w:r>
      <w:r w:rsidR="0013617F" w:rsidRPr="009E4B29">
        <w:rPr>
          <w:rFonts w:ascii="Palatino Linotype" w:hAnsi="Palatino Linotype"/>
          <w:color w:val="231F20"/>
          <w:sz w:val="22"/>
          <w:szCs w:val="22"/>
          <w:lang w:eastAsia="en-US"/>
        </w:rPr>
        <w:t>ord. Le Maroc, la Tunisie et l'Egypte sont à un stade relativement avancé et similaire de développement de leur secteur financier. Ces trois pays ont à ce titre les marchés boursiers les plus développés de la région. On peut envisager en conséquence des initiatives entre ces pays qui visent l'adaptation des infrastructures techniques (interconnexion), la double cotation (cross-listing).</w:t>
      </w:r>
      <w:r w:rsidR="002711B9" w:rsidRPr="009E4B29">
        <w:rPr>
          <w:rFonts w:ascii="Palatino Linotype" w:hAnsi="Palatino Linotype"/>
          <w:color w:val="231F20"/>
          <w:sz w:val="22"/>
          <w:szCs w:val="22"/>
          <w:lang w:eastAsia="en-US"/>
        </w:rPr>
        <w:t xml:space="preserve"> On peut même envisager des initiatives au </w:t>
      </w:r>
      <w:r w:rsidR="00ED322B" w:rsidRPr="009E4B29">
        <w:rPr>
          <w:rFonts w:ascii="Palatino Linotype" w:hAnsi="Palatino Linotype"/>
          <w:color w:val="231F20"/>
          <w:sz w:val="22"/>
          <w:szCs w:val="22"/>
          <w:lang w:eastAsia="en-US"/>
        </w:rPr>
        <w:t>delà</w:t>
      </w:r>
      <w:r w:rsidR="002711B9" w:rsidRPr="009E4B29">
        <w:rPr>
          <w:rFonts w:ascii="Palatino Linotype" w:hAnsi="Palatino Linotype"/>
          <w:color w:val="231F20"/>
          <w:sz w:val="22"/>
          <w:szCs w:val="22"/>
          <w:lang w:eastAsia="en-US"/>
        </w:rPr>
        <w:t xml:space="preserve"> de ce groupe</w:t>
      </w:r>
      <w:r w:rsidR="00ED322B" w:rsidRPr="009E4B29">
        <w:rPr>
          <w:rFonts w:ascii="Palatino Linotype" w:hAnsi="Palatino Linotype"/>
          <w:color w:val="231F20"/>
          <w:sz w:val="22"/>
          <w:szCs w:val="22"/>
          <w:lang w:eastAsia="en-US"/>
        </w:rPr>
        <w:t>.</w:t>
      </w:r>
    </w:p>
    <w:p w:rsidR="00ED322B" w:rsidRPr="009E4B29" w:rsidRDefault="00ED322B" w:rsidP="00705FA6">
      <w:pPr>
        <w:autoSpaceDE w:val="0"/>
        <w:autoSpaceDN w:val="0"/>
        <w:adjustRightInd w:val="0"/>
        <w:spacing w:after="120"/>
        <w:jc w:val="both"/>
        <w:rPr>
          <w:rFonts w:ascii="Palatino Linotype" w:hAnsi="Palatino Linotype"/>
          <w:sz w:val="22"/>
          <w:szCs w:val="22"/>
          <w:lang w:eastAsia="en-US"/>
        </w:rPr>
      </w:pPr>
      <w:r w:rsidRPr="009E4B29">
        <w:rPr>
          <w:rFonts w:ascii="Palatino Linotype" w:hAnsi="Palatino Linotype"/>
          <w:color w:val="231F20"/>
          <w:sz w:val="22"/>
          <w:szCs w:val="22"/>
          <w:lang w:eastAsia="en-US"/>
        </w:rPr>
        <w:t xml:space="preserve"> C’est dans cet esprit que le Bureau de la CEA pour l’Afrique du Nord a organisé en 2008, une réunion sur la mobilité des capitaux en Afrique du Nord. L</w:t>
      </w:r>
      <w:r w:rsidRPr="009E4B29">
        <w:rPr>
          <w:rFonts w:ascii="Palatino Linotype" w:hAnsi="Palatino Linotype"/>
          <w:sz w:val="22"/>
          <w:szCs w:val="22"/>
          <w:lang w:eastAsia="en-US"/>
        </w:rPr>
        <w:t xml:space="preserve">es analyses présentées et les débats des experts ont permis de constater que la mobilité intra-régionale des capitaux en Afrique du Nord était modeste et ne représentaient qu’environ 6% du total des investissements dans la région. Le Maroc et l'Egypte, aidés par des bourses de valeurs dynamiques, ont été les </w:t>
      </w:r>
      <w:r w:rsidRPr="009E4B29">
        <w:rPr>
          <w:rFonts w:ascii="Palatino Linotype" w:hAnsi="Palatino Linotype"/>
          <w:color w:val="000000"/>
          <w:sz w:val="22"/>
          <w:szCs w:val="22"/>
          <w:lang w:eastAsia="en-US"/>
        </w:rPr>
        <w:t>principaux</w:t>
      </w:r>
      <w:r w:rsidRPr="009E4B29">
        <w:rPr>
          <w:rFonts w:ascii="Palatino Linotype" w:hAnsi="Palatino Linotype"/>
          <w:sz w:val="22"/>
          <w:szCs w:val="22"/>
          <w:lang w:eastAsia="en-US"/>
        </w:rPr>
        <w:t xml:space="preserve"> contributeurs avec 45% et 36% des investissements intra régionaux, respectivement. Les pays d'accueil de ces investissements ont été essentiellement l'Algérie, la Mauritanie et la Tunisie dans des secteurs comme l'énergie, les banques, les télécommunications, la construction et le tourisme.</w:t>
      </w:r>
    </w:p>
    <w:p w:rsidR="0013617F" w:rsidRPr="009E4B29" w:rsidRDefault="00ED322B" w:rsidP="00705FA6">
      <w:pPr>
        <w:autoSpaceDE w:val="0"/>
        <w:autoSpaceDN w:val="0"/>
        <w:adjustRightInd w:val="0"/>
        <w:spacing w:after="120"/>
        <w:jc w:val="both"/>
        <w:rPr>
          <w:rFonts w:ascii="Palatino Linotype" w:hAnsi="Palatino Linotype"/>
          <w:color w:val="231F20"/>
          <w:sz w:val="22"/>
          <w:szCs w:val="22"/>
          <w:lang w:eastAsia="en-US"/>
        </w:rPr>
      </w:pPr>
      <w:r w:rsidRPr="009E4B29">
        <w:rPr>
          <w:rFonts w:ascii="Palatino Linotype" w:hAnsi="Palatino Linotype"/>
          <w:sz w:val="22"/>
          <w:szCs w:val="22"/>
          <w:lang w:eastAsia="en-US"/>
        </w:rPr>
        <w:t>La réunion avait également  permis de monter qu'une mobilité des capitaux accrue peut être bonne pour la croissance économique des pays de la région sous certaines conditions. Ainsi, les mouvements de capitaux sont des déterminants de l'intégration régionale, elle-même</w:t>
      </w:r>
      <w:r w:rsidR="00BA2D74" w:rsidRPr="009E4B29">
        <w:rPr>
          <w:rFonts w:ascii="Palatino Linotype" w:hAnsi="Palatino Linotype"/>
          <w:sz w:val="22"/>
          <w:szCs w:val="22"/>
          <w:lang w:eastAsia="en-US"/>
        </w:rPr>
        <w:t xml:space="preserve"> </w:t>
      </w:r>
      <w:r w:rsidRPr="009E4B29">
        <w:rPr>
          <w:rFonts w:ascii="Palatino Linotype" w:hAnsi="Palatino Linotype"/>
          <w:sz w:val="22"/>
          <w:szCs w:val="22"/>
          <w:lang w:eastAsia="en-US"/>
        </w:rPr>
        <w:t xml:space="preserve">source de croissance, seulement lorsque des niveaux minimum de commerce </w:t>
      </w:r>
      <w:r w:rsidR="00BA2D74" w:rsidRPr="009E4B29">
        <w:rPr>
          <w:rFonts w:ascii="Palatino Linotype" w:hAnsi="Palatino Linotype"/>
          <w:sz w:val="22"/>
          <w:szCs w:val="22"/>
          <w:lang w:eastAsia="en-US"/>
        </w:rPr>
        <w:t xml:space="preserve">infrarégional </w:t>
      </w:r>
      <w:r w:rsidRPr="009E4B29">
        <w:rPr>
          <w:rFonts w:ascii="Palatino Linotype" w:hAnsi="Palatino Linotype"/>
          <w:sz w:val="22"/>
          <w:szCs w:val="22"/>
          <w:lang w:eastAsia="en-US"/>
        </w:rPr>
        <w:t xml:space="preserve">et d'harmonisation des législations est atteint. </w:t>
      </w:r>
      <w:r w:rsidR="00BA2D74" w:rsidRPr="009E4B29">
        <w:rPr>
          <w:rFonts w:ascii="Palatino Linotype" w:hAnsi="Palatino Linotype"/>
          <w:sz w:val="22"/>
          <w:szCs w:val="22"/>
          <w:lang w:eastAsia="en-US"/>
        </w:rPr>
        <w:t xml:space="preserve">La question de l’harmonisation des législations renvoie de toute évidence à celle de la gouvernance </w:t>
      </w:r>
      <w:r w:rsidR="008945C6" w:rsidRPr="009E4B29">
        <w:rPr>
          <w:rFonts w:ascii="Palatino Linotype" w:hAnsi="Palatino Linotype"/>
          <w:sz w:val="22"/>
          <w:szCs w:val="22"/>
          <w:lang w:eastAsia="en-US"/>
        </w:rPr>
        <w:t>régionale</w:t>
      </w:r>
      <w:r w:rsidR="00BA2D74" w:rsidRPr="009E4B29">
        <w:rPr>
          <w:rFonts w:ascii="Palatino Linotype" w:hAnsi="Palatino Linotype"/>
          <w:sz w:val="22"/>
          <w:szCs w:val="22"/>
          <w:lang w:eastAsia="en-US"/>
        </w:rPr>
        <w:t>, condition d’une intégration financière réussie</w:t>
      </w:r>
      <w:r w:rsidRPr="009E4B29">
        <w:rPr>
          <w:rFonts w:ascii="Palatino Linotype" w:hAnsi="Palatino Linotype"/>
          <w:sz w:val="22"/>
          <w:szCs w:val="22"/>
          <w:lang w:eastAsia="en-US"/>
        </w:rPr>
        <w:t>.</w:t>
      </w:r>
    </w:p>
    <w:p w:rsidR="0013617F" w:rsidRPr="009E4B29" w:rsidRDefault="008945C6" w:rsidP="00872223">
      <w:pPr>
        <w:autoSpaceDE w:val="0"/>
        <w:autoSpaceDN w:val="0"/>
        <w:adjustRightInd w:val="0"/>
        <w:spacing w:after="120"/>
        <w:jc w:val="both"/>
        <w:rPr>
          <w:rFonts w:ascii="Palatino Linotype" w:hAnsi="Palatino Linotype"/>
          <w:color w:val="231F20"/>
          <w:sz w:val="22"/>
          <w:szCs w:val="22"/>
          <w:lang w:eastAsia="en-US"/>
        </w:rPr>
      </w:pPr>
      <w:r w:rsidRPr="009E4B29">
        <w:rPr>
          <w:rFonts w:ascii="Palatino Linotype" w:hAnsi="Palatino Linotype"/>
          <w:color w:val="231F20"/>
          <w:sz w:val="22"/>
          <w:szCs w:val="22"/>
          <w:lang w:eastAsia="en-US"/>
        </w:rPr>
        <w:t>Dès lors</w:t>
      </w:r>
      <w:r w:rsidR="00BA2D74" w:rsidRPr="009E4B29">
        <w:rPr>
          <w:rFonts w:ascii="Palatino Linotype" w:hAnsi="Palatino Linotype"/>
          <w:color w:val="231F20"/>
          <w:sz w:val="22"/>
          <w:szCs w:val="22"/>
          <w:lang w:eastAsia="en-US"/>
        </w:rPr>
        <w:t xml:space="preserve">, quelles options restent disponibles pour la réussite de l’intégration financière en Afrique du Nord alors que beaucoup de pays </w:t>
      </w:r>
      <w:r w:rsidRPr="009E4B29">
        <w:rPr>
          <w:rFonts w:ascii="Palatino Linotype" w:hAnsi="Palatino Linotype"/>
          <w:color w:val="231F20"/>
          <w:sz w:val="22"/>
          <w:szCs w:val="22"/>
          <w:lang w:eastAsia="en-US"/>
        </w:rPr>
        <w:t>demeurent</w:t>
      </w:r>
      <w:r w:rsidR="00BA2D74" w:rsidRPr="009E4B29">
        <w:rPr>
          <w:rFonts w:ascii="Palatino Linotype" w:hAnsi="Palatino Linotype"/>
          <w:color w:val="231F20"/>
          <w:sz w:val="22"/>
          <w:szCs w:val="22"/>
          <w:lang w:eastAsia="en-US"/>
        </w:rPr>
        <w:t xml:space="preserve"> réticents à l’idée de l’ouverture du compte capital ? Quelle configuration choisir pour une gouvernance régionale qui facilite le développement financier des pays tout en minimisant les risques auxquels leurs balances des capitaux peuvent être exposées? Quelle </w:t>
      </w:r>
      <w:proofErr w:type="spellStart"/>
      <w:r w:rsidR="00BA2D74" w:rsidRPr="009E4B29">
        <w:rPr>
          <w:rFonts w:ascii="Palatino Linotype" w:hAnsi="Palatino Linotype"/>
          <w:color w:val="231F20"/>
          <w:sz w:val="22"/>
          <w:szCs w:val="22"/>
          <w:lang w:eastAsia="en-US"/>
        </w:rPr>
        <w:t>séquencing</w:t>
      </w:r>
      <w:proofErr w:type="spellEnd"/>
      <w:r w:rsidR="00BA2D74" w:rsidRPr="009E4B29">
        <w:rPr>
          <w:rFonts w:ascii="Palatino Linotype" w:hAnsi="Palatino Linotype"/>
          <w:color w:val="231F20"/>
          <w:sz w:val="22"/>
          <w:szCs w:val="22"/>
          <w:lang w:eastAsia="en-US"/>
        </w:rPr>
        <w:t xml:space="preserve"> peut-on retenir à la lumière des expériences des autres sous régions du Continent ? Peut on aller vers une intégration financière réussie sans mettre en place ne serait-ce qu’une monnaie commune à défaut d’une monnaie unique ? </w:t>
      </w:r>
      <w:r w:rsidR="00FC1BE3" w:rsidRPr="009E4B29">
        <w:rPr>
          <w:rFonts w:ascii="Palatino Linotype" w:hAnsi="Palatino Linotype"/>
          <w:color w:val="231F20"/>
          <w:sz w:val="22"/>
          <w:szCs w:val="22"/>
          <w:lang w:eastAsia="en-US"/>
        </w:rPr>
        <w:t xml:space="preserve">Quelles seraient les implications sur les régimes de change des pays de la sous région ? Quelles seraient les réformes bancaires à mettre en œuvre selon le niveau d’intégration envisagé ? </w:t>
      </w:r>
      <w:r w:rsidR="00BA2D74" w:rsidRPr="009E4B29">
        <w:rPr>
          <w:rFonts w:ascii="Palatino Linotype" w:hAnsi="Palatino Linotype"/>
          <w:color w:val="231F20"/>
          <w:sz w:val="22"/>
          <w:szCs w:val="22"/>
          <w:lang w:eastAsia="en-US"/>
        </w:rPr>
        <w:t xml:space="preserve">Faut-il aller graduellement d’une zone intégrée  UMA  </w:t>
      </w:r>
      <w:r w:rsidR="00E02B49" w:rsidRPr="009E4B29">
        <w:rPr>
          <w:rFonts w:ascii="Palatino Linotype" w:hAnsi="Palatino Linotype"/>
          <w:color w:val="231F20"/>
          <w:sz w:val="22"/>
          <w:szCs w:val="22"/>
          <w:lang w:eastAsia="en-US"/>
        </w:rPr>
        <w:t>quitte</w:t>
      </w:r>
      <w:r w:rsidR="00BA2D74" w:rsidRPr="009E4B29">
        <w:rPr>
          <w:rFonts w:ascii="Palatino Linotype" w:hAnsi="Palatino Linotype"/>
          <w:color w:val="231F20"/>
          <w:sz w:val="22"/>
          <w:szCs w:val="22"/>
          <w:lang w:eastAsia="en-US"/>
        </w:rPr>
        <w:t xml:space="preserve"> à l’élargir vers les deux autres pays de l’Afrique du Nord qui par ailleurs appartiennent à d’autres mouvements d’intégration ?</w:t>
      </w:r>
    </w:p>
    <w:p w:rsidR="00BA2D74" w:rsidRPr="009E4B29" w:rsidRDefault="00BA2D74" w:rsidP="000912A9">
      <w:pPr>
        <w:autoSpaceDE w:val="0"/>
        <w:autoSpaceDN w:val="0"/>
        <w:adjustRightInd w:val="0"/>
        <w:spacing w:after="240"/>
        <w:jc w:val="both"/>
        <w:rPr>
          <w:rFonts w:ascii="Palatino Linotype" w:hAnsi="Palatino Linotype"/>
          <w:color w:val="231F20"/>
          <w:sz w:val="22"/>
          <w:szCs w:val="22"/>
          <w:lang w:eastAsia="en-US"/>
        </w:rPr>
      </w:pPr>
      <w:r w:rsidRPr="009E4B29">
        <w:rPr>
          <w:rFonts w:ascii="Palatino Linotype" w:hAnsi="Palatino Linotype"/>
          <w:color w:val="231F20"/>
          <w:sz w:val="22"/>
          <w:szCs w:val="22"/>
          <w:lang w:eastAsia="en-US"/>
        </w:rPr>
        <w:t>Autant de question</w:t>
      </w:r>
      <w:r w:rsidR="007C7007" w:rsidRPr="009E4B29">
        <w:rPr>
          <w:rFonts w:ascii="Palatino Linotype" w:hAnsi="Palatino Linotype"/>
          <w:color w:val="231F20"/>
          <w:sz w:val="22"/>
          <w:szCs w:val="22"/>
          <w:lang w:eastAsia="en-US"/>
        </w:rPr>
        <w:t>s</w:t>
      </w:r>
      <w:r w:rsidRPr="009E4B29">
        <w:rPr>
          <w:rFonts w:ascii="Palatino Linotype" w:hAnsi="Palatino Linotype"/>
          <w:color w:val="231F20"/>
          <w:sz w:val="22"/>
          <w:szCs w:val="22"/>
          <w:lang w:eastAsia="en-US"/>
        </w:rPr>
        <w:t xml:space="preserve"> que cette réunion d’experts abordera en vue d’aboutir à des propositions </w:t>
      </w:r>
      <w:r w:rsidR="00E02B49" w:rsidRPr="009E4B29">
        <w:rPr>
          <w:rFonts w:ascii="Palatino Linotype" w:hAnsi="Palatino Linotype"/>
          <w:color w:val="231F20"/>
          <w:sz w:val="22"/>
          <w:szCs w:val="22"/>
          <w:lang w:eastAsia="en-US"/>
        </w:rPr>
        <w:t>concrètes</w:t>
      </w:r>
      <w:r w:rsidRPr="009E4B29">
        <w:rPr>
          <w:rFonts w:ascii="Palatino Linotype" w:hAnsi="Palatino Linotype"/>
          <w:color w:val="231F20"/>
          <w:sz w:val="22"/>
          <w:szCs w:val="22"/>
          <w:lang w:eastAsia="en-US"/>
        </w:rPr>
        <w:t xml:space="preserve"> </w:t>
      </w:r>
      <w:r w:rsidR="007C7007" w:rsidRPr="009E4B29">
        <w:rPr>
          <w:rFonts w:ascii="Palatino Linotype" w:hAnsi="Palatino Linotype"/>
          <w:color w:val="231F20"/>
          <w:sz w:val="22"/>
          <w:szCs w:val="22"/>
          <w:lang w:eastAsia="en-US"/>
        </w:rPr>
        <w:t xml:space="preserve">pour une  </w:t>
      </w:r>
      <w:r w:rsidRPr="009E4B29">
        <w:rPr>
          <w:rFonts w:ascii="Palatino Linotype" w:hAnsi="Palatino Linotype"/>
          <w:color w:val="231F20"/>
          <w:sz w:val="22"/>
          <w:szCs w:val="22"/>
          <w:lang w:eastAsia="en-US"/>
        </w:rPr>
        <w:t>amélioration d</w:t>
      </w:r>
      <w:r w:rsidR="00E02B49" w:rsidRPr="009E4B29">
        <w:rPr>
          <w:rFonts w:ascii="Palatino Linotype" w:hAnsi="Palatino Linotype"/>
          <w:color w:val="231F20"/>
          <w:sz w:val="22"/>
          <w:szCs w:val="22"/>
          <w:lang w:eastAsia="en-US"/>
        </w:rPr>
        <w:t>e l’intégration financière de l’Afrique du Nord.</w:t>
      </w:r>
    </w:p>
    <w:p w:rsidR="00EA17A1" w:rsidRDefault="00EA17A1">
      <w:pPr>
        <w:rPr>
          <w:rFonts w:ascii="ITC Avant Garde Gothic Demi" w:hAnsi="ITC Avant Garde Gothic Demi" w:cs="Arial"/>
          <w:b/>
          <w:bCs/>
          <w:color w:val="CC6600"/>
          <w:sz w:val="28"/>
          <w:szCs w:val="28"/>
        </w:rPr>
      </w:pPr>
      <w:r>
        <w:rPr>
          <w:rFonts w:ascii="ITC Avant Garde Gothic Demi" w:hAnsi="ITC Avant Garde Gothic Demi" w:cs="Arial"/>
          <w:b/>
          <w:bCs/>
          <w:color w:val="CC6600"/>
          <w:sz w:val="28"/>
          <w:szCs w:val="28"/>
        </w:rPr>
        <w:br w:type="page"/>
      </w:r>
    </w:p>
    <w:p w:rsidR="006B1A59" w:rsidRPr="004B0629" w:rsidRDefault="006B1A59" w:rsidP="00FE7689">
      <w:pPr>
        <w:pStyle w:val="NormalWeb"/>
        <w:spacing w:before="0" w:beforeAutospacing="0" w:after="120" w:afterAutospacing="0"/>
        <w:jc w:val="both"/>
        <w:rPr>
          <w:rFonts w:ascii="ITC Avant Garde Gothic Demi" w:hAnsi="ITC Avant Garde Gothic Demi" w:cs="Arial"/>
          <w:b/>
          <w:bCs/>
          <w:color w:val="CC6600"/>
          <w:sz w:val="28"/>
          <w:szCs w:val="28"/>
        </w:rPr>
      </w:pPr>
      <w:r w:rsidRPr="004B0629">
        <w:rPr>
          <w:rFonts w:ascii="ITC Avant Garde Gothic Demi" w:hAnsi="ITC Avant Garde Gothic Demi" w:cs="Arial"/>
          <w:b/>
          <w:bCs/>
          <w:color w:val="CC6600"/>
          <w:sz w:val="28"/>
          <w:szCs w:val="28"/>
        </w:rPr>
        <w:lastRenderedPageBreak/>
        <w:t>Objectifs</w:t>
      </w:r>
      <w:r w:rsidR="009855FF" w:rsidRPr="004B0629">
        <w:rPr>
          <w:rFonts w:ascii="ITC Avant Garde Gothic Demi" w:hAnsi="ITC Avant Garde Gothic Demi" w:cs="Arial"/>
          <w:b/>
          <w:bCs/>
          <w:color w:val="CC6600"/>
          <w:sz w:val="28"/>
          <w:szCs w:val="28"/>
        </w:rPr>
        <w:t xml:space="preserve"> de la </w:t>
      </w:r>
      <w:r w:rsidR="00DB1D50" w:rsidRPr="004B0629">
        <w:rPr>
          <w:rFonts w:ascii="ITC Avant Garde Gothic Demi" w:hAnsi="ITC Avant Garde Gothic Demi" w:cs="Arial"/>
          <w:b/>
          <w:bCs/>
          <w:color w:val="CC6600"/>
          <w:sz w:val="28"/>
          <w:szCs w:val="28"/>
        </w:rPr>
        <w:t>réunion</w:t>
      </w:r>
      <w:r w:rsidR="009855FF" w:rsidRPr="004B0629">
        <w:rPr>
          <w:rFonts w:ascii="ITC Avant Garde Gothic Demi" w:hAnsi="ITC Avant Garde Gothic Demi" w:cs="Arial"/>
          <w:b/>
          <w:bCs/>
          <w:color w:val="CC6600"/>
          <w:sz w:val="28"/>
          <w:szCs w:val="28"/>
        </w:rPr>
        <w:t xml:space="preserve"> d’experts</w:t>
      </w:r>
    </w:p>
    <w:p w:rsidR="00B82236" w:rsidRPr="009E4B29" w:rsidRDefault="00E02B49" w:rsidP="003A35BD">
      <w:pPr>
        <w:autoSpaceDE w:val="0"/>
        <w:autoSpaceDN w:val="0"/>
        <w:adjustRightInd w:val="0"/>
        <w:jc w:val="both"/>
        <w:rPr>
          <w:rFonts w:ascii="Palatino Linotype" w:hAnsi="Palatino Linotype"/>
          <w:sz w:val="22"/>
          <w:szCs w:val="22"/>
        </w:rPr>
      </w:pPr>
      <w:r w:rsidRPr="009E4B29">
        <w:rPr>
          <w:rFonts w:ascii="Palatino Linotype" w:hAnsi="Palatino Linotype"/>
          <w:sz w:val="22"/>
          <w:szCs w:val="22"/>
        </w:rPr>
        <w:t xml:space="preserve">La réunion </w:t>
      </w:r>
      <w:r w:rsidR="00A45336" w:rsidRPr="009E4B29">
        <w:rPr>
          <w:rFonts w:ascii="Palatino Linotype" w:hAnsi="Palatino Linotype"/>
          <w:sz w:val="22"/>
          <w:szCs w:val="22"/>
        </w:rPr>
        <w:t>a pour objectif de proposer</w:t>
      </w:r>
      <w:r w:rsidRPr="009E4B29">
        <w:rPr>
          <w:rFonts w:ascii="Palatino Linotype" w:hAnsi="Palatino Linotype"/>
          <w:sz w:val="22"/>
          <w:szCs w:val="22"/>
        </w:rPr>
        <w:t xml:space="preserve"> </w:t>
      </w:r>
      <w:r w:rsidR="00A45336" w:rsidRPr="009E4B29">
        <w:rPr>
          <w:rFonts w:ascii="Palatino Linotype" w:hAnsi="Palatino Linotype"/>
          <w:sz w:val="22"/>
          <w:szCs w:val="22"/>
        </w:rPr>
        <w:t>des pistes pour la réalisation</w:t>
      </w:r>
      <w:r w:rsidRPr="009E4B29">
        <w:rPr>
          <w:rFonts w:ascii="Palatino Linotype" w:hAnsi="Palatino Linotype"/>
          <w:sz w:val="22"/>
          <w:szCs w:val="22"/>
        </w:rPr>
        <w:t xml:space="preserve"> de l’intégration financière en Afrique du Nord. Elle devra aboutir à des propositions concrètes de mécanismes de gouvernance en vue d’une meilleure coordination de la circulation des capitaux en Afrique du Nord en support au processus d’intégration régionale</w:t>
      </w:r>
      <w:r w:rsidR="00B82236" w:rsidRPr="009E4B29">
        <w:rPr>
          <w:rFonts w:ascii="Palatino Linotype" w:hAnsi="Palatino Linotype"/>
          <w:sz w:val="22"/>
          <w:szCs w:val="22"/>
        </w:rPr>
        <w:t xml:space="preserve">. </w:t>
      </w:r>
    </w:p>
    <w:p w:rsidR="0005325C" w:rsidRPr="00E02B49" w:rsidRDefault="0005325C" w:rsidP="003A35BD">
      <w:pPr>
        <w:autoSpaceDE w:val="0"/>
        <w:autoSpaceDN w:val="0"/>
        <w:adjustRightInd w:val="0"/>
        <w:jc w:val="both"/>
      </w:pPr>
    </w:p>
    <w:p w:rsidR="00E46941" w:rsidRPr="004B0629" w:rsidRDefault="007A43B8" w:rsidP="00FE7689">
      <w:pPr>
        <w:pStyle w:val="NormalWeb"/>
        <w:spacing w:before="0" w:beforeAutospacing="0" w:after="120" w:afterAutospacing="0"/>
        <w:jc w:val="both"/>
        <w:rPr>
          <w:rFonts w:ascii="ITC Avant Garde Gothic Demi" w:hAnsi="ITC Avant Garde Gothic Demi" w:cs="Arial"/>
          <w:b/>
          <w:bCs/>
          <w:color w:val="CC6600"/>
          <w:sz w:val="28"/>
          <w:szCs w:val="28"/>
        </w:rPr>
      </w:pPr>
      <w:r w:rsidRPr="004B0629">
        <w:rPr>
          <w:rFonts w:ascii="ITC Avant Garde Gothic Demi" w:hAnsi="ITC Avant Garde Gothic Demi" w:cs="Arial"/>
          <w:b/>
          <w:bCs/>
          <w:color w:val="CC6600"/>
          <w:sz w:val="28"/>
          <w:szCs w:val="28"/>
        </w:rPr>
        <w:t>Participants </w:t>
      </w:r>
    </w:p>
    <w:p w:rsidR="00E44600" w:rsidRPr="009E4B29" w:rsidRDefault="00303E91" w:rsidP="003A35BD">
      <w:pPr>
        <w:autoSpaceDE w:val="0"/>
        <w:autoSpaceDN w:val="0"/>
        <w:adjustRightInd w:val="0"/>
        <w:jc w:val="both"/>
        <w:rPr>
          <w:rFonts w:ascii="Palatino Linotype" w:hAnsi="Palatino Linotype"/>
          <w:sz w:val="22"/>
          <w:szCs w:val="22"/>
        </w:rPr>
      </w:pPr>
      <w:r w:rsidRPr="009E4B29">
        <w:rPr>
          <w:rFonts w:ascii="Palatino Linotype" w:hAnsi="Palatino Linotype"/>
          <w:sz w:val="22"/>
          <w:szCs w:val="22"/>
        </w:rPr>
        <w:t>L</w:t>
      </w:r>
      <w:r w:rsidR="0016241F" w:rsidRPr="009E4B29">
        <w:rPr>
          <w:rFonts w:ascii="Palatino Linotype" w:hAnsi="Palatino Linotype"/>
          <w:sz w:val="22"/>
          <w:szCs w:val="22"/>
        </w:rPr>
        <w:t>a réunion rassemblera</w:t>
      </w:r>
      <w:r w:rsidRPr="009E4B29">
        <w:rPr>
          <w:rFonts w:ascii="Palatino Linotype" w:hAnsi="Palatino Linotype"/>
          <w:sz w:val="22"/>
          <w:szCs w:val="22"/>
        </w:rPr>
        <w:t xml:space="preserve"> des experts des pays d</w:t>
      </w:r>
      <w:r w:rsidR="00E02B49" w:rsidRPr="009E4B29">
        <w:rPr>
          <w:rFonts w:ascii="Palatino Linotype" w:hAnsi="Palatino Linotype"/>
          <w:sz w:val="22"/>
          <w:szCs w:val="22"/>
        </w:rPr>
        <w:t>’Afrique du N</w:t>
      </w:r>
      <w:r w:rsidR="00F12854" w:rsidRPr="009E4B29">
        <w:rPr>
          <w:rFonts w:ascii="Palatino Linotype" w:hAnsi="Palatino Linotype"/>
          <w:sz w:val="22"/>
          <w:szCs w:val="22"/>
        </w:rPr>
        <w:t>ord</w:t>
      </w:r>
      <w:r w:rsidR="00E02B49" w:rsidRPr="009E4B29">
        <w:rPr>
          <w:rFonts w:ascii="Palatino Linotype" w:hAnsi="Palatino Linotype"/>
          <w:sz w:val="22"/>
          <w:szCs w:val="22"/>
        </w:rPr>
        <w:t xml:space="preserve">. Ils proviendront des Banques Centrales des sept pays membres et des </w:t>
      </w:r>
      <w:r w:rsidR="00382DEA" w:rsidRPr="009E4B29">
        <w:rPr>
          <w:rFonts w:ascii="Palatino Linotype" w:hAnsi="Palatino Linotype"/>
          <w:sz w:val="22"/>
          <w:szCs w:val="22"/>
        </w:rPr>
        <w:t>Ministère</w:t>
      </w:r>
      <w:r w:rsidR="00E02B49" w:rsidRPr="009E4B29">
        <w:rPr>
          <w:rFonts w:ascii="Palatino Linotype" w:hAnsi="Palatino Linotype"/>
          <w:sz w:val="22"/>
          <w:szCs w:val="22"/>
        </w:rPr>
        <w:t xml:space="preserve"> en charge des questions de régulation fi</w:t>
      </w:r>
      <w:r w:rsidR="00382DEA" w:rsidRPr="009E4B29">
        <w:rPr>
          <w:rFonts w:ascii="Palatino Linotype" w:hAnsi="Palatino Linotype"/>
          <w:sz w:val="22"/>
          <w:szCs w:val="22"/>
        </w:rPr>
        <w:t>n</w:t>
      </w:r>
      <w:r w:rsidR="00E02B49" w:rsidRPr="009E4B29">
        <w:rPr>
          <w:rFonts w:ascii="Palatino Linotype" w:hAnsi="Palatino Linotype"/>
          <w:sz w:val="22"/>
          <w:szCs w:val="22"/>
        </w:rPr>
        <w:t xml:space="preserve">ancière dans les pays. </w:t>
      </w:r>
      <w:r w:rsidR="00382DEA" w:rsidRPr="009E4B29">
        <w:rPr>
          <w:rFonts w:ascii="Palatino Linotype" w:hAnsi="Palatino Linotype"/>
          <w:sz w:val="22"/>
          <w:szCs w:val="22"/>
        </w:rPr>
        <w:t xml:space="preserve">Des Représentants des Bourses des Valeurs Immobilières seront également partie prenante à l’animation des sessions de discussions. Il en est de même des </w:t>
      </w:r>
      <w:r w:rsidR="008460C5" w:rsidRPr="009E4B29">
        <w:rPr>
          <w:rFonts w:ascii="Palatino Linotype" w:hAnsi="Palatino Linotype"/>
          <w:sz w:val="22"/>
          <w:szCs w:val="22"/>
        </w:rPr>
        <w:t>représentants d’</w:t>
      </w:r>
      <w:r w:rsidR="00D4726B" w:rsidRPr="009E4B29">
        <w:rPr>
          <w:rFonts w:ascii="Palatino Linotype" w:hAnsi="Palatino Linotype"/>
          <w:sz w:val="22"/>
          <w:szCs w:val="22"/>
        </w:rPr>
        <w:t>institutions</w:t>
      </w:r>
      <w:r w:rsidR="008460C5" w:rsidRPr="009E4B29">
        <w:rPr>
          <w:rFonts w:ascii="Palatino Linotype" w:hAnsi="Palatino Linotype"/>
          <w:sz w:val="22"/>
          <w:szCs w:val="22"/>
        </w:rPr>
        <w:t xml:space="preserve"> nationales et </w:t>
      </w:r>
      <w:r w:rsidR="00D4726B" w:rsidRPr="009E4B29">
        <w:rPr>
          <w:rFonts w:ascii="Palatino Linotype" w:hAnsi="Palatino Linotype"/>
          <w:sz w:val="22"/>
          <w:szCs w:val="22"/>
        </w:rPr>
        <w:t xml:space="preserve">d’organisations </w:t>
      </w:r>
      <w:r w:rsidR="008460C5" w:rsidRPr="009E4B29">
        <w:rPr>
          <w:rFonts w:ascii="Palatino Linotype" w:hAnsi="Palatino Linotype"/>
          <w:sz w:val="22"/>
          <w:szCs w:val="22"/>
        </w:rPr>
        <w:t xml:space="preserve">régionales, </w:t>
      </w:r>
      <w:r w:rsidR="009A7D50" w:rsidRPr="009E4B29">
        <w:rPr>
          <w:rFonts w:ascii="Palatino Linotype" w:hAnsi="Palatino Linotype"/>
          <w:sz w:val="22"/>
          <w:szCs w:val="22"/>
        </w:rPr>
        <w:t xml:space="preserve">des centres de recherche, </w:t>
      </w:r>
      <w:r w:rsidRPr="009E4B29">
        <w:rPr>
          <w:rFonts w:ascii="Palatino Linotype" w:hAnsi="Palatino Linotype"/>
          <w:sz w:val="22"/>
          <w:szCs w:val="22"/>
        </w:rPr>
        <w:t>d</w:t>
      </w:r>
      <w:r w:rsidR="00F12854" w:rsidRPr="009E4B29">
        <w:rPr>
          <w:rFonts w:ascii="Palatino Linotype" w:hAnsi="Palatino Linotype"/>
          <w:sz w:val="22"/>
          <w:szCs w:val="22"/>
        </w:rPr>
        <w:t>es représentants d</w:t>
      </w:r>
      <w:r w:rsidRPr="009E4B29">
        <w:rPr>
          <w:rFonts w:ascii="Palatino Linotype" w:hAnsi="Palatino Linotype"/>
          <w:sz w:val="22"/>
          <w:szCs w:val="22"/>
        </w:rPr>
        <w:t>u système des Nations Unies et de</w:t>
      </w:r>
      <w:r w:rsidR="003402D3" w:rsidRPr="009E4B29">
        <w:rPr>
          <w:rFonts w:ascii="Palatino Linotype" w:hAnsi="Palatino Linotype"/>
          <w:sz w:val="22"/>
          <w:szCs w:val="22"/>
        </w:rPr>
        <w:t>s partenaires au développement</w:t>
      </w:r>
      <w:r w:rsidRPr="009E4B29">
        <w:rPr>
          <w:rFonts w:ascii="Palatino Linotype" w:hAnsi="Palatino Linotype"/>
          <w:sz w:val="22"/>
          <w:szCs w:val="22"/>
        </w:rPr>
        <w:t xml:space="preserve">. </w:t>
      </w:r>
      <w:r w:rsidR="009117E8" w:rsidRPr="009E4B29">
        <w:rPr>
          <w:rFonts w:ascii="Palatino Linotype" w:hAnsi="Palatino Linotype"/>
          <w:sz w:val="22"/>
          <w:szCs w:val="22"/>
        </w:rPr>
        <w:t>Des représentants d’autres CER pourront éventuellement présenter leurs expériences en vue de faciliter les échanges d’expériences.</w:t>
      </w:r>
    </w:p>
    <w:p w:rsidR="00C77492" w:rsidRDefault="00C77492" w:rsidP="004B0629">
      <w:pPr>
        <w:pStyle w:val="NormalWeb"/>
        <w:spacing w:before="0" w:beforeAutospacing="0" w:after="0" w:afterAutospacing="0"/>
        <w:jc w:val="both"/>
        <w:rPr>
          <w:rFonts w:ascii="ITC Avant Garde Gothic Demi" w:hAnsi="ITC Avant Garde Gothic Demi" w:cs="Arial"/>
          <w:b/>
          <w:bCs/>
          <w:color w:val="CC6600"/>
          <w:sz w:val="28"/>
          <w:szCs w:val="28"/>
        </w:rPr>
      </w:pPr>
    </w:p>
    <w:p w:rsidR="00DB7D53" w:rsidRPr="004B0629" w:rsidRDefault="00BF2E7E" w:rsidP="00FE7689">
      <w:pPr>
        <w:pStyle w:val="NormalWeb"/>
        <w:spacing w:before="0" w:beforeAutospacing="0" w:after="120" w:afterAutospacing="0"/>
        <w:jc w:val="both"/>
        <w:rPr>
          <w:rFonts w:ascii="ITC Avant Garde Gothic Demi" w:hAnsi="ITC Avant Garde Gothic Demi" w:cs="Arial"/>
          <w:b/>
          <w:bCs/>
          <w:color w:val="CC6600"/>
          <w:sz w:val="28"/>
          <w:szCs w:val="28"/>
        </w:rPr>
      </w:pPr>
      <w:r w:rsidRPr="004B0629">
        <w:rPr>
          <w:rFonts w:ascii="ITC Avant Garde Gothic Demi" w:hAnsi="ITC Avant Garde Gothic Demi" w:cs="Arial"/>
          <w:b/>
          <w:bCs/>
          <w:color w:val="CC6600"/>
          <w:sz w:val="28"/>
          <w:szCs w:val="28"/>
        </w:rPr>
        <w:t xml:space="preserve">Déroulement de </w:t>
      </w:r>
      <w:r w:rsidR="00B82236" w:rsidRPr="004B0629">
        <w:rPr>
          <w:rFonts w:ascii="ITC Avant Garde Gothic Demi" w:hAnsi="ITC Avant Garde Gothic Demi" w:cs="Arial"/>
          <w:b/>
          <w:bCs/>
          <w:color w:val="CC6600"/>
          <w:sz w:val="28"/>
          <w:szCs w:val="28"/>
        </w:rPr>
        <w:t>la réunion</w:t>
      </w:r>
    </w:p>
    <w:p w:rsidR="00DD7962" w:rsidRPr="009E4B29" w:rsidRDefault="00DB7D53" w:rsidP="003A35BD">
      <w:pPr>
        <w:autoSpaceDE w:val="0"/>
        <w:autoSpaceDN w:val="0"/>
        <w:adjustRightInd w:val="0"/>
        <w:jc w:val="both"/>
        <w:rPr>
          <w:rFonts w:ascii="Palatino Linotype" w:hAnsi="Palatino Linotype"/>
          <w:sz w:val="22"/>
          <w:szCs w:val="22"/>
        </w:rPr>
      </w:pPr>
      <w:r w:rsidRPr="009E4B29">
        <w:rPr>
          <w:rFonts w:ascii="Palatino Linotype" w:hAnsi="Palatino Linotype"/>
          <w:sz w:val="22"/>
          <w:szCs w:val="22"/>
        </w:rPr>
        <w:t xml:space="preserve">Les travaux de </w:t>
      </w:r>
      <w:r w:rsidR="00672786" w:rsidRPr="009E4B29">
        <w:rPr>
          <w:rFonts w:ascii="Palatino Linotype" w:hAnsi="Palatino Linotype"/>
          <w:sz w:val="22"/>
          <w:szCs w:val="22"/>
        </w:rPr>
        <w:t>la réunion</w:t>
      </w:r>
      <w:r w:rsidRPr="009E4B29">
        <w:rPr>
          <w:rFonts w:ascii="Palatino Linotype" w:hAnsi="Palatino Linotype"/>
          <w:sz w:val="22"/>
          <w:szCs w:val="22"/>
        </w:rPr>
        <w:t xml:space="preserve"> se</w:t>
      </w:r>
      <w:r w:rsidR="00800C56" w:rsidRPr="009E4B29">
        <w:rPr>
          <w:rFonts w:ascii="Palatino Linotype" w:hAnsi="Palatino Linotype"/>
          <w:sz w:val="22"/>
          <w:szCs w:val="22"/>
        </w:rPr>
        <w:t xml:space="preserve"> dérouleront</w:t>
      </w:r>
      <w:r w:rsidRPr="009E4B29">
        <w:rPr>
          <w:rFonts w:ascii="Palatino Linotype" w:hAnsi="Palatino Linotype"/>
          <w:sz w:val="22"/>
          <w:szCs w:val="22"/>
        </w:rPr>
        <w:t xml:space="preserve"> </w:t>
      </w:r>
      <w:r w:rsidR="00D35A52" w:rsidRPr="009E4B29">
        <w:rPr>
          <w:rFonts w:ascii="Palatino Linotype" w:hAnsi="Palatino Linotype"/>
          <w:sz w:val="22"/>
          <w:szCs w:val="22"/>
        </w:rPr>
        <w:t>sur</w:t>
      </w:r>
      <w:r w:rsidR="008460C5" w:rsidRPr="009E4B29">
        <w:rPr>
          <w:rFonts w:ascii="Palatino Linotype" w:hAnsi="Palatino Linotype"/>
          <w:sz w:val="22"/>
          <w:szCs w:val="22"/>
        </w:rPr>
        <w:t xml:space="preserve"> </w:t>
      </w:r>
      <w:r w:rsidR="00800C56" w:rsidRPr="009E4B29">
        <w:rPr>
          <w:rFonts w:ascii="Palatino Linotype" w:hAnsi="Palatino Linotype"/>
          <w:sz w:val="22"/>
          <w:szCs w:val="22"/>
        </w:rPr>
        <w:t xml:space="preserve">deux jours </w:t>
      </w:r>
      <w:r w:rsidR="0041461C" w:rsidRPr="009E4B29">
        <w:rPr>
          <w:rFonts w:ascii="Palatino Linotype" w:hAnsi="Palatino Linotype"/>
          <w:sz w:val="22"/>
          <w:szCs w:val="22"/>
        </w:rPr>
        <w:t xml:space="preserve">et seront structurés </w:t>
      </w:r>
      <w:r w:rsidR="00D35A52" w:rsidRPr="009E4B29">
        <w:rPr>
          <w:rFonts w:ascii="Palatino Linotype" w:hAnsi="Palatino Linotype"/>
          <w:sz w:val="22"/>
          <w:szCs w:val="22"/>
        </w:rPr>
        <w:t xml:space="preserve">autour de </w:t>
      </w:r>
      <w:r w:rsidR="00404BF3" w:rsidRPr="009E4B29">
        <w:rPr>
          <w:rFonts w:ascii="Palatino Linotype" w:hAnsi="Palatino Linotype"/>
          <w:sz w:val="22"/>
          <w:szCs w:val="22"/>
        </w:rPr>
        <w:t>quatre</w:t>
      </w:r>
      <w:r w:rsidR="00D35A52" w:rsidRPr="009E4B29">
        <w:rPr>
          <w:rFonts w:ascii="Palatino Linotype" w:hAnsi="Palatino Linotype"/>
          <w:color w:val="FF0000"/>
          <w:sz w:val="22"/>
          <w:szCs w:val="22"/>
        </w:rPr>
        <w:t xml:space="preserve"> </w:t>
      </w:r>
      <w:r w:rsidR="00A53B26" w:rsidRPr="009E4B29">
        <w:rPr>
          <w:rFonts w:ascii="Palatino Linotype" w:hAnsi="Palatino Linotype"/>
          <w:sz w:val="22"/>
          <w:szCs w:val="22"/>
        </w:rPr>
        <w:t>axes de discussions</w:t>
      </w:r>
      <w:r w:rsidR="00D35A52" w:rsidRPr="009E4B29">
        <w:rPr>
          <w:rFonts w:ascii="Palatino Linotype" w:hAnsi="Palatino Linotype"/>
          <w:sz w:val="22"/>
          <w:szCs w:val="22"/>
        </w:rPr>
        <w:t xml:space="preserve">. Pour chaque thème, les principaux résultats de </w:t>
      </w:r>
      <w:r w:rsidR="00AB148F" w:rsidRPr="009E4B29">
        <w:rPr>
          <w:rFonts w:ascii="Palatino Linotype" w:hAnsi="Palatino Linotype"/>
          <w:sz w:val="22"/>
          <w:szCs w:val="22"/>
        </w:rPr>
        <w:t xml:space="preserve">l’étude seront présentés </w:t>
      </w:r>
      <w:r w:rsidR="00D35A52" w:rsidRPr="009E4B29">
        <w:rPr>
          <w:rFonts w:ascii="Palatino Linotype" w:hAnsi="Palatino Linotype"/>
          <w:sz w:val="22"/>
          <w:szCs w:val="22"/>
        </w:rPr>
        <w:t xml:space="preserve">et </w:t>
      </w:r>
      <w:r w:rsidR="00981E9C" w:rsidRPr="009E4B29">
        <w:rPr>
          <w:rFonts w:ascii="Palatino Linotype" w:hAnsi="Palatino Linotype"/>
          <w:sz w:val="22"/>
          <w:szCs w:val="22"/>
        </w:rPr>
        <w:t xml:space="preserve">des </w:t>
      </w:r>
      <w:r w:rsidR="00D35A52" w:rsidRPr="009E4B29">
        <w:rPr>
          <w:rFonts w:ascii="Palatino Linotype" w:hAnsi="Palatino Linotype"/>
          <w:sz w:val="22"/>
          <w:szCs w:val="22"/>
        </w:rPr>
        <w:t xml:space="preserve">communications en lien avec le thème contribueront à </w:t>
      </w:r>
      <w:r w:rsidR="005C5B61" w:rsidRPr="009E4B29">
        <w:rPr>
          <w:rFonts w:ascii="Palatino Linotype" w:hAnsi="Palatino Linotype"/>
          <w:sz w:val="22"/>
          <w:szCs w:val="22"/>
        </w:rPr>
        <w:t>enrichir</w:t>
      </w:r>
      <w:r w:rsidR="00D35A52" w:rsidRPr="009E4B29">
        <w:rPr>
          <w:rFonts w:ascii="Palatino Linotype" w:hAnsi="Palatino Linotype"/>
          <w:sz w:val="22"/>
          <w:szCs w:val="22"/>
        </w:rPr>
        <w:t xml:space="preserve"> les discussions.</w:t>
      </w:r>
    </w:p>
    <w:p w:rsidR="00FC4E83" w:rsidRPr="00D52713" w:rsidRDefault="00FC4E83" w:rsidP="00D52713">
      <w:pPr>
        <w:spacing w:line="276" w:lineRule="auto"/>
        <w:jc w:val="both"/>
      </w:pPr>
    </w:p>
    <w:p w:rsidR="00382DEA" w:rsidRPr="00872223" w:rsidRDefault="00EA17A1" w:rsidP="000912A9">
      <w:pPr>
        <w:autoSpaceDE w:val="0"/>
        <w:autoSpaceDN w:val="0"/>
        <w:adjustRightInd w:val="0"/>
        <w:spacing w:after="120"/>
        <w:jc w:val="center"/>
        <w:rPr>
          <w:rFonts w:ascii="ITC Avant Garde Gothic Demi" w:hAnsi="ITC Avant Garde Gothic Demi"/>
          <w:b/>
          <w:bCs/>
          <w:color w:val="006699"/>
          <w:sz w:val="20"/>
          <w:szCs w:val="20"/>
          <w:lang w:eastAsia="en-US"/>
        </w:rPr>
      </w:pPr>
      <w:r w:rsidRPr="00872223">
        <w:rPr>
          <w:rFonts w:ascii="ITC Avant Garde Gothic Demi" w:hAnsi="ITC Avant Garde Gothic Demi"/>
          <w:b/>
          <w:bCs/>
          <w:color w:val="006699"/>
          <w:sz w:val="20"/>
          <w:szCs w:val="20"/>
          <w:lang w:eastAsia="en-US"/>
        </w:rPr>
        <w:t>Axe 1</w:t>
      </w:r>
      <w:r w:rsidR="00691E59" w:rsidRPr="00872223">
        <w:rPr>
          <w:rFonts w:ascii="ITC Avant Garde Gothic Demi" w:hAnsi="ITC Avant Garde Gothic Demi"/>
          <w:b/>
          <w:bCs/>
          <w:color w:val="006699"/>
          <w:sz w:val="20"/>
          <w:szCs w:val="20"/>
          <w:lang w:eastAsia="en-US"/>
        </w:rPr>
        <w:t>: Intégration financière en Afrique du Nord : Où en est-on ?</w:t>
      </w:r>
    </w:p>
    <w:p w:rsidR="00691E59" w:rsidRPr="009E4B29" w:rsidRDefault="00691E59" w:rsidP="008D515A">
      <w:pPr>
        <w:autoSpaceDE w:val="0"/>
        <w:autoSpaceDN w:val="0"/>
        <w:adjustRightInd w:val="0"/>
        <w:jc w:val="both"/>
        <w:rPr>
          <w:rFonts w:ascii="Palatino Linotype" w:hAnsi="Palatino Linotype"/>
          <w:color w:val="231F20"/>
          <w:sz w:val="22"/>
          <w:szCs w:val="22"/>
          <w:lang w:eastAsia="en-US"/>
        </w:rPr>
      </w:pPr>
      <w:r w:rsidRPr="009E4B29">
        <w:rPr>
          <w:rFonts w:ascii="Palatino Linotype" w:hAnsi="Palatino Linotype"/>
          <w:color w:val="231F20"/>
          <w:sz w:val="22"/>
          <w:szCs w:val="22"/>
          <w:lang w:eastAsia="en-US"/>
        </w:rPr>
        <w:t xml:space="preserve">Les discussions ici devront permettre de dresser un état d’avancement complet de la libéralisation financière en Afrique du Nord. Ceci intègre les accords bilatéraux existant entre les Etats </w:t>
      </w:r>
      <w:r w:rsidRPr="009E4B29">
        <w:rPr>
          <w:rFonts w:ascii="Palatino Linotype" w:hAnsi="Palatino Linotype"/>
          <w:sz w:val="22"/>
          <w:szCs w:val="22"/>
        </w:rPr>
        <w:t>d’une</w:t>
      </w:r>
      <w:r w:rsidRPr="009E4B29">
        <w:rPr>
          <w:rFonts w:ascii="Palatino Linotype" w:hAnsi="Palatino Linotype"/>
          <w:color w:val="231F20"/>
          <w:sz w:val="22"/>
          <w:szCs w:val="22"/>
          <w:lang w:eastAsia="en-US"/>
        </w:rPr>
        <w:t xml:space="preserve"> part et entre certains Etats et des pays tiers (hors Afrique du Nord). Il est proposé d'examiner également à ce niveau le plan d'action pour l'intégration financière adopté</w:t>
      </w:r>
      <w:r w:rsidR="008D515A">
        <w:rPr>
          <w:rFonts w:ascii="Palatino Linotype" w:hAnsi="Palatino Linotype"/>
          <w:color w:val="231F20"/>
          <w:sz w:val="22"/>
          <w:szCs w:val="22"/>
          <w:lang w:eastAsia="en-US"/>
        </w:rPr>
        <w:t xml:space="preserve"> </w:t>
      </w:r>
      <w:r w:rsidRPr="009E4B29">
        <w:rPr>
          <w:rFonts w:ascii="Palatino Linotype" w:hAnsi="Palatino Linotype"/>
          <w:color w:val="231F20"/>
          <w:sz w:val="22"/>
          <w:szCs w:val="22"/>
          <w:lang w:eastAsia="en-US"/>
        </w:rPr>
        <w:t xml:space="preserve">par les experts des autorités monétaires et de supervision des pays du Maghreb dans le cadre de l'initiative du FMI pour l'intégration régionale. Ce plan ayant été élaboré après </w:t>
      </w:r>
      <w:r w:rsidR="000A1D22" w:rsidRPr="009E4B29">
        <w:rPr>
          <w:rFonts w:ascii="Palatino Linotype" w:hAnsi="Palatino Linotype"/>
          <w:color w:val="231F20"/>
          <w:sz w:val="22"/>
          <w:szCs w:val="22"/>
          <w:lang w:eastAsia="en-US"/>
        </w:rPr>
        <w:t>de  nombreuses</w:t>
      </w:r>
      <w:r w:rsidRPr="009E4B29">
        <w:rPr>
          <w:rFonts w:ascii="Palatino Linotype" w:hAnsi="Palatino Linotype"/>
          <w:color w:val="231F20"/>
          <w:sz w:val="22"/>
          <w:szCs w:val="22"/>
          <w:lang w:eastAsia="en-US"/>
        </w:rPr>
        <w:t xml:space="preserve"> discussions entre les responsables maghrébins, peut constituer une plate-forme minimale pour les mesures au niveau de la région de l'Afrique du Nord.</w:t>
      </w:r>
    </w:p>
    <w:p w:rsidR="00691E59" w:rsidRDefault="00691E59" w:rsidP="00E02B49">
      <w:pPr>
        <w:autoSpaceDE w:val="0"/>
        <w:autoSpaceDN w:val="0"/>
        <w:adjustRightInd w:val="0"/>
        <w:jc w:val="both"/>
        <w:rPr>
          <w:color w:val="231F20"/>
          <w:lang w:eastAsia="en-US"/>
        </w:rPr>
      </w:pPr>
    </w:p>
    <w:p w:rsidR="00691E59" w:rsidRPr="00872223" w:rsidRDefault="00EA17A1" w:rsidP="000912A9">
      <w:pPr>
        <w:autoSpaceDE w:val="0"/>
        <w:autoSpaceDN w:val="0"/>
        <w:adjustRightInd w:val="0"/>
        <w:spacing w:after="120"/>
        <w:jc w:val="center"/>
        <w:rPr>
          <w:rFonts w:ascii="ITC Avant Garde Gothic Demi" w:hAnsi="ITC Avant Garde Gothic Demi"/>
          <w:b/>
          <w:bCs/>
          <w:color w:val="006699"/>
          <w:sz w:val="20"/>
          <w:szCs w:val="20"/>
          <w:lang w:eastAsia="en-US"/>
        </w:rPr>
      </w:pPr>
      <w:r w:rsidRPr="00872223">
        <w:rPr>
          <w:rFonts w:ascii="ITC Avant Garde Gothic Demi" w:hAnsi="ITC Avant Garde Gothic Demi"/>
          <w:b/>
          <w:bCs/>
          <w:color w:val="006699"/>
          <w:sz w:val="20"/>
          <w:szCs w:val="20"/>
          <w:lang w:eastAsia="en-US"/>
        </w:rPr>
        <w:t>Axe 2</w:t>
      </w:r>
      <w:r w:rsidR="00691E59" w:rsidRPr="00872223">
        <w:rPr>
          <w:rFonts w:ascii="ITC Avant Garde Gothic Demi" w:hAnsi="ITC Avant Garde Gothic Demi"/>
          <w:b/>
          <w:bCs/>
          <w:color w:val="006699"/>
          <w:sz w:val="20"/>
          <w:szCs w:val="20"/>
          <w:lang w:eastAsia="en-US"/>
        </w:rPr>
        <w:t>: Les leçons des expériences d’autres communautés régionales</w:t>
      </w:r>
    </w:p>
    <w:p w:rsidR="00382DEA" w:rsidRDefault="00691E59" w:rsidP="00E02B49">
      <w:pPr>
        <w:autoSpaceDE w:val="0"/>
        <w:autoSpaceDN w:val="0"/>
        <w:adjustRightInd w:val="0"/>
        <w:jc w:val="both"/>
        <w:rPr>
          <w:rFonts w:ascii="Palatino Linotype" w:hAnsi="Palatino Linotype"/>
          <w:color w:val="231F20"/>
          <w:sz w:val="22"/>
          <w:szCs w:val="22"/>
          <w:lang w:eastAsia="en-US"/>
        </w:rPr>
      </w:pPr>
      <w:r w:rsidRPr="009E4B29">
        <w:rPr>
          <w:rFonts w:ascii="Palatino Linotype" w:hAnsi="Palatino Linotype"/>
          <w:color w:val="231F20"/>
          <w:sz w:val="22"/>
          <w:szCs w:val="22"/>
          <w:lang w:eastAsia="en-US"/>
        </w:rPr>
        <w:t xml:space="preserve">Que cela soit en Afrique ou ailleurs, diverses expériences ont été faites en matière d’intégration financière. Quelles sont ces expériences et quelles leçons préliminaires peut-on en tirer pour </w:t>
      </w:r>
      <w:r w:rsidRPr="009E4B29">
        <w:rPr>
          <w:rFonts w:ascii="Palatino Linotype" w:hAnsi="Palatino Linotype"/>
          <w:sz w:val="22"/>
          <w:szCs w:val="22"/>
        </w:rPr>
        <w:t>l’Afrique</w:t>
      </w:r>
      <w:r w:rsidRPr="009E4B29">
        <w:rPr>
          <w:rFonts w:ascii="Palatino Linotype" w:hAnsi="Palatino Linotype"/>
          <w:color w:val="231F20"/>
          <w:sz w:val="22"/>
          <w:szCs w:val="22"/>
          <w:lang w:eastAsia="en-US"/>
        </w:rPr>
        <w:t xml:space="preserve"> du Nord ? </w:t>
      </w:r>
    </w:p>
    <w:p w:rsidR="00201BE9" w:rsidRPr="009E4B29" w:rsidRDefault="00201BE9" w:rsidP="00E02B49">
      <w:pPr>
        <w:autoSpaceDE w:val="0"/>
        <w:autoSpaceDN w:val="0"/>
        <w:adjustRightInd w:val="0"/>
        <w:jc w:val="both"/>
        <w:rPr>
          <w:rFonts w:ascii="Palatino Linotype" w:hAnsi="Palatino Linotype"/>
          <w:color w:val="231F20"/>
          <w:sz w:val="22"/>
          <w:szCs w:val="22"/>
          <w:lang w:eastAsia="en-US"/>
        </w:rPr>
      </w:pPr>
    </w:p>
    <w:p w:rsidR="00272ADD" w:rsidRDefault="00272ADD" w:rsidP="00272ADD">
      <w:pPr>
        <w:autoSpaceDE w:val="0"/>
        <w:autoSpaceDN w:val="0"/>
        <w:adjustRightInd w:val="0"/>
        <w:jc w:val="both"/>
        <w:rPr>
          <w:rFonts w:ascii="Palatino Linotype" w:hAnsi="Palatino Linotype"/>
          <w:color w:val="231F20"/>
          <w:sz w:val="22"/>
          <w:szCs w:val="22"/>
          <w:lang w:eastAsia="en-US"/>
        </w:rPr>
      </w:pPr>
      <w:r w:rsidRPr="009E4B29">
        <w:rPr>
          <w:rFonts w:ascii="Palatino Linotype" w:hAnsi="Palatino Linotype"/>
          <w:color w:val="231F20"/>
          <w:sz w:val="22"/>
          <w:szCs w:val="22"/>
          <w:lang w:eastAsia="en-US"/>
        </w:rPr>
        <w:t xml:space="preserve">Au lieu de poursuivre le projet d’un marché régional de la finance au sens de marché unique comme on l’entend dans l’Union Européenne, faut-il  plutôt développer les marchés financiers nationaux sur la base de principes communs pour les rendre plus ouverts les uns envers les autres et </w:t>
      </w:r>
      <w:r w:rsidRPr="009E4B29">
        <w:rPr>
          <w:rFonts w:ascii="Palatino Linotype" w:hAnsi="Palatino Linotype"/>
          <w:sz w:val="22"/>
          <w:szCs w:val="22"/>
        </w:rPr>
        <w:t>pour</w:t>
      </w:r>
      <w:r w:rsidRPr="009E4B29">
        <w:rPr>
          <w:rFonts w:ascii="Palatino Linotype" w:hAnsi="Palatino Linotype"/>
          <w:color w:val="231F20"/>
          <w:sz w:val="22"/>
          <w:szCs w:val="22"/>
          <w:lang w:eastAsia="en-US"/>
        </w:rPr>
        <w:t xml:space="preserve"> mieux les intégrer au marché mondial ?</w:t>
      </w:r>
    </w:p>
    <w:p w:rsidR="008D515A" w:rsidRDefault="00672786" w:rsidP="00672786">
      <w:pPr>
        <w:autoSpaceDE w:val="0"/>
        <w:autoSpaceDN w:val="0"/>
        <w:adjustRightInd w:val="0"/>
        <w:jc w:val="both"/>
        <w:rPr>
          <w:rFonts w:ascii="Palatino Linotype" w:hAnsi="Palatino Linotype"/>
          <w:color w:val="231F20"/>
          <w:sz w:val="22"/>
          <w:szCs w:val="22"/>
          <w:lang w:eastAsia="en-US"/>
        </w:rPr>
      </w:pPr>
      <w:r w:rsidRPr="009E4B29">
        <w:rPr>
          <w:rFonts w:ascii="Palatino Linotype" w:hAnsi="Palatino Linotype"/>
          <w:color w:val="231F20"/>
          <w:sz w:val="22"/>
          <w:szCs w:val="22"/>
          <w:lang w:eastAsia="en-US"/>
        </w:rPr>
        <w:t xml:space="preserve">D’un autre coté, il semble bien que dans la pratique il est difficile d’aller très loin dans l’intégration financière sans intégration monétaire. La volonté partagée, quand elle existe, d’aboutir à une monnaie commune, voire unique, apparaît bien comme la force motrice susceptible de mobiliser les énergies et de justifier la constitution d’un marché unique de la finance à l’échelle régionale. </w:t>
      </w:r>
    </w:p>
    <w:p w:rsidR="00672786" w:rsidRPr="009E4B29" w:rsidRDefault="00672786" w:rsidP="00EA17A1">
      <w:pPr>
        <w:autoSpaceDE w:val="0"/>
        <w:autoSpaceDN w:val="0"/>
        <w:adjustRightInd w:val="0"/>
        <w:spacing w:after="240"/>
        <w:jc w:val="both"/>
        <w:rPr>
          <w:rFonts w:ascii="Palatino Linotype" w:hAnsi="Palatino Linotype"/>
          <w:color w:val="231F20"/>
          <w:sz w:val="22"/>
          <w:szCs w:val="22"/>
          <w:lang w:eastAsia="en-US"/>
        </w:rPr>
      </w:pPr>
      <w:r w:rsidRPr="009E4B29">
        <w:rPr>
          <w:rFonts w:ascii="Palatino Linotype" w:hAnsi="Palatino Linotype"/>
          <w:color w:val="231F20"/>
          <w:sz w:val="22"/>
          <w:szCs w:val="22"/>
          <w:lang w:eastAsia="en-US"/>
        </w:rPr>
        <w:lastRenderedPageBreak/>
        <w:t>L’affaiblissement du projet de création d’un marché financier asiatique en tant qu’institution collective établit sur des règles communes s’explique avant tout par les limites de l’intégration monétaire (</w:t>
      </w:r>
      <w:proofErr w:type="spellStart"/>
      <w:r w:rsidRPr="009E4B29">
        <w:rPr>
          <w:rFonts w:ascii="Palatino Linotype" w:hAnsi="Palatino Linotype"/>
          <w:color w:val="231F20"/>
          <w:sz w:val="22"/>
          <w:szCs w:val="22"/>
          <w:lang w:eastAsia="en-US"/>
        </w:rPr>
        <w:t>Jetin</w:t>
      </w:r>
      <w:proofErr w:type="spellEnd"/>
      <w:r w:rsidRPr="009E4B29">
        <w:rPr>
          <w:rFonts w:ascii="Palatino Linotype" w:hAnsi="Palatino Linotype"/>
          <w:color w:val="231F20"/>
          <w:sz w:val="22"/>
          <w:szCs w:val="22"/>
          <w:lang w:eastAsia="en-US"/>
        </w:rPr>
        <w:t>, 2008)</w:t>
      </w:r>
      <w:r w:rsidRPr="009E4B29">
        <w:rPr>
          <w:rFonts w:ascii="Palatino Linotype" w:hAnsi="Palatino Linotype"/>
          <w:color w:val="231F20"/>
          <w:sz w:val="22"/>
          <w:szCs w:val="22"/>
          <w:vertAlign w:val="superscript"/>
        </w:rPr>
        <w:footnoteReference w:id="7"/>
      </w:r>
      <w:r w:rsidRPr="009E4B29">
        <w:rPr>
          <w:rFonts w:ascii="Palatino Linotype" w:hAnsi="Palatino Linotype"/>
          <w:color w:val="231F20"/>
          <w:sz w:val="22"/>
          <w:szCs w:val="22"/>
          <w:vertAlign w:val="superscript"/>
          <w:lang w:eastAsia="en-US"/>
        </w:rPr>
        <w:t>.</w:t>
      </w:r>
      <w:r w:rsidRPr="009E4B29">
        <w:rPr>
          <w:rFonts w:ascii="Palatino Linotype" w:hAnsi="Palatino Linotype"/>
          <w:color w:val="231F20"/>
          <w:sz w:val="22"/>
          <w:szCs w:val="22"/>
          <w:lang w:eastAsia="en-US"/>
        </w:rPr>
        <w:t xml:space="preserve"> Celle-ci n’a jamais dépassé le stade de la mise en place d’un filet de sécurité monétaire en cas de crise de change.</w:t>
      </w:r>
    </w:p>
    <w:p w:rsidR="00691E59" w:rsidRPr="00872223" w:rsidRDefault="00EA17A1" w:rsidP="00EA17A1">
      <w:pPr>
        <w:autoSpaceDE w:val="0"/>
        <w:autoSpaceDN w:val="0"/>
        <w:adjustRightInd w:val="0"/>
        <w:spacing w:after="120"/>
        <w:jc w:val="center"/>
        <w:rPr>
          <w:rFonts w:ascii="ITC Avant Garde Gothic Demi" w:hAnsi="ITC Avant Garde Gothic Demi"/>
          <w:b/>
          <w:bCs/>
          <w:color w:val="006699"/>
          <w:sz w:val="20"/>
          <w:szCs w:val="20"/>
          <w:lang w:eastAsia="en-US"/>
        </w:rPr>
      </w:pPr>
      <w:r w:rsidRPr="00872223">
        <w:rPr>
          <w:rFonts w:ascii="ITC Avant Garde Gothic Demi" w:hAnsi="ITC Avant Garde Gothic Demi"/>
          <w:b/>
          <w:bCs/>
          <w:color w:val="006699"/>
          <w:sz w:val="20"/>
          <w:szCs w:val="20"/>
          <w:lang w:eastAsia="en-US"/>
        </w:rPr>
        <w:t>Axe 3</w:t>
      </w:r>
      <w:r w:rsidR="00691E59" w:rsidRPr="00872223">
        <w:rPr>
          <w:rFonts w:ascii="ITC Avant Garde Gothic Demi" w:hAnsi="ITC Avant Garde Gothic Demi"/>
          <w:b/>
          <w:bCs/>
          <w:color w:val="006699"/>
          <w:sz w:val="20"/>
          <w:szCs w:val="20"/>
          <w:lang w:eastAsia="en-US"/>
        </w:rPr>
        <w:t xml:space="preserve">: Intégration financière et intégration monétaire: Quel scenario </w:t>
      </w:r>
      <w:r w:rsidR="005E6F45" w:rsidRPr="00872223">
        <w:rPr>
          <w:rFonts w:ascii="ITC Avant Garde Gothic Demi" w:hAnsi="ITC Avant Garde Gothic Demi"/>
          <w:b/>
          <w:bCs/>
          <w:color w:val="006699"/>
          <w:sz w:val="20"/>
          <w:szCs w:val="20"/>
          <w:lang w:eastAsia="en-US"/>
        </w:rPr>
        <w:t>pour accommoder l</w:t>
      </w:r>
      <w:r w:rsidR="006B0286" w:rsidRPr="00872223">
        <w:rPr>
          <w:rFonts w:ascii="ITC Avant Garde Gothic Demi" w:hAnsi="ITC Avant Garde Gothic Demi"/>
          <w:b/>
          <w:bCs/>
          <w:color w:val="006699"/>
          <w:sz w:val="20"/>
          <w:szCs w:val="20"/>
          <w:lang w:eastAsia="en-US"/>
        </w:rPr>
        <w:t>a configuration actuelle des pays nord africains appartenant à divers CER</w:t>
      </w:r>
    </w:p>
    <w:p w:rsidR="00201BE9" w:rsidRPr="009E4B29" w:rsidRDefault="00FC1BE3" w:rsidP="001C5808">
      <w:pPr>
        <w:autoSpaceDE w:val="0"/>
        <w:autoSpaceDN w:val="0"/>
        <w:adjustRightInd w:val="0"/>
        <w:spacing w:after="120"/>
        <w:jc w:val="both"/>
        <w:rPr>
          <w:rFonts w:ascii="Palatino Linotype" w:hAnsi="Palatino Linotype"/>
          <w:color w:val="231F20"/>
          <w:sz w:val="22"/>
          <w:szCs w:val="22"/>
          <w:lang w:eastAsia="en-US"/>
        </w:rPr>
      </w:pPr>
      <w:r w:rsidRPr="009E4B29">
        <w:rPr>
          <w:rFonts w:ascii="Palatino Linotype" w:hAnsi="Palatino Linotype"/>
          <w:color w:val="231F20"/>
          <w:sz w:val="22"/>
          <w:szCs w:val="22"/>
          <w:lang w:eastAsia="en-US"/>
        </w:rPr>
        <w:t xml:space="preserve">Dans ce cadre, différents </w:t>
      </w:r>
      <w:r w:rsidR="006B0286" w:rsidRPr="009E4B29">
        <w:rPr>
          <w:rFonts w:ascii="Palatino Linotype" w:hAnsi="Palatino Linotype"/>
          <w:color w:val="231F20"/>
          <w:sz w:val="22"/>
          <w:szCs w:val="22"/>
          <w:lang w:eastAsia="en-US"/>
        </w:rPr>
        <w:t xml:space="preserve">scenarii seront envisagés en fonction des évolutions envisageable de la situation actuelle de la sous région. Bien qu’on puisse multiplier les scenarii à l’infini, on peut </w:t>
      </w:r>
      <w:r w:rsidRPr="009E4B29">
        <w:rPr>
          <w:rFonts w:ascii="Palatino Linotype" w:hAnsi="Palatino Linotype"/>
          <w:color w:val="231F20"/>
          <w:sz w:val="22"/>
          <w:szCs w:val="22"/>
          <w:lang w:eastAsia="en-US"/>
        </w:rPr>
        <w:t xml:space="preserve">envisager </w:t>
      </w:r>
      <w:r w:rsidR="006B0286" w:rsidRPr="009E4B29">
        <w:rPr>
          <w:rFonts w:ascii="Palatino Linotype" w:hAnsi="Palatino Linotype"/>
          <w:color w:val="231F20"/>
          <w:sz w:val="22"/>
          <w:szCs w:val="22"/>
          <w:lang w:eastAsia="en-US"/>
        </w:rPr>
        <w:t xml:space="preserve"> une accélération d</w:t>
      </w:r>
      <w:r w:rsidRPr="009E4B29">
        <w:rPr>
          <w:rFonts w:ascii="Palatino Linotype" w:hAnsi="Palatino Linotype"/>
          <w:color w:val="231F20"/>
          <w:sz w:val="22"/>
          <w:szCs w:val="22"/>
          <w:lang w:eastAsia="en-US"/>
        </w:rPr>
        <w:t xml:space="preserve">u </w:t>
      </w:r>
      <w:r w:rsidR="006B0286" w:rsidRPr="009E4B29">
        <w:rPr>
          <w:rFonts w:ascii="Palatino Linotype" w:hAnsi="Palatino Linotype"/>
          <w:color w:val="231F20"/>
          <w:sz w:val="22"/>
          <w:szCs w:val="22"/>
          <w:lang w:eastAsia="en-US"/>
        </w:rPr>
        <w:t xml:space="preserve">processus </w:t>
      </w:r>
      <w:r w:rsidRPr="009E4B29">
        <w:rPr>
          <w:rFonts w:ascii="Palatino Linotype" w:hAnsi="Palatino Linotype"/>
          <w:color w:val="231F20"/>
          <w:sz w:val="22"/>
          <w:szCs w:val="22"/>
          <w:lang w:eastAsia="en-US"/>
        </w:rPr>
        <w:t xml:space="preserve">d’intégration dans l’UMA, </w:t>
      </w:r>
      <w:r w:rsidR="006B0286" w:rsidRPr="009E4B29">
        <w:rPr>
          <w:rFonts w:ascii="Palatino Linotype" w:hAnsi="Palatino Linotype"/>
          <w:color w:val="231F20"/>
          <w:sz w:val="22"/>
          <w:szCs w:val="22"/>
          <w:lang w:eastAsia="en-US"/>
        </w:rPr>
        <w:t>qui aura comme conséquence une zone avec une intégration à deux vitesses</w:t>
      </w:r>
      <w:r w:rsidR="00E907DB" w:rsidRPr="009E4B29">
        <w:rPr>
          <w:rFonts w:ascii="Palatino Linotype" w:hAnsi="Palatino Linotype"/>
          <w:color w:val="231F20"/>
          <w:sz w:val="22"/>
          <w:szCs w:val="22"/>
          <w:lang w:eastAsia="en-US"/>
        </w:rPr>
        <w:t>, l’UMA d’un coté et les pays tiers nord africains non membre de l’UMA d’un coté</w:t>
      </w:r>
      <w:r w:rsidR="006B0286" w:rsidRPr="009E4B29">
        <w:rPr>
          <w:rFonts w:ascii="Palatino Linotype" w:hAnsi="Palatino Linotype"/>
          <w:color w:val="231F20"/>
          <w:sz w:val="22"/>
          <w:szCs w:val="22"/>
          <w:lang w:eastAsia="en-US"/>
        </w:rPr>
        <w:t>. Dans ce cas quel scenario envisager pour une intégration financière plus grande ?</w:t>
      </w:r>
    </w:p>
    <w:p w:rsidR="006B0286" w:rsidRPr="009E4B29" w:rsidRDefault="006B0286" w:rsidP="00EA17A1">
      <w:pPr>
        <w:autoSpaceDE w:val="0"/>
        <w:autoSpaceDN w:val="0"/>
        <w:adjustRightInd w:val="0"/>
        <w:spacing w:after="240"/>
        <w:jc w:val="both"/>
        <w:rPr>
          <w:rFonts w:ascii="Palatino Linotype" w:hAnsi="Palatino Linotype"/>
          <w:color w:val="231F20"/>
          <w:sz w:val="22"/>
          <w:szCs w:val="22"/>
          <w:lang w:eastAsia="en-US"/>
        </w:rPr>
      </w:pPr>
      <w:r w:rsidRPr="009E4B29">
        <w:rPr>
          <w:rFonts w:ascii="Palatino Linotype" w:hAnsi="Palatino Linotype"/>
          <w:color w:val="231F20"/>
          <w:sz w:val="22"/>
          <w:szCs w:val="22"/>
          <w:lang w:eastAsia="en-US"/>
        </w:rPr>
        <w:t>On peut également imaginer un retour d’une CENSAD renforcé avec une UMA qui poursuit ses efforts à son rythme actuel</w:t>
      </w:r>
      <w:r w:rsidR="00FC1BE3" w:rsidRPr="009E4B29">
        <w:rPr>
          <w:rFonts w:ascii="Palatino Linotype" w:hAnsi="Palatino Linotype"/>
          <w:color w:val="231F20"/>
          <w:sz w:val="22"/>
          <w:szCs w:val="22"/>
          <w:lang w:eastAsia="en-US"/>
        </w:rPr>
        <w:t xml:space="preserve">, ou un rapprochement de l’UMA avec la CEDEAO et la CEMAC ou la CEEAC en échos à l’initiative tripartite lancée en juin 2011 par le COMESA, l’EAC et la SADC </w:t>
      </w:r>
      <w:r w:rsidRPr="009E4B29">
        <w:rPr>
          <w:rFonts w:ascii="Palatino Linotype" w:hAnsi="Palatino Linotype"/>
          <w:color w:val="231F20"/>
          <w:sz w:val="22"/>
          <w:szCs w:val="22"/>
          <w:lang w:eastAsia="en-US"/>
        </w:rPr>
        <w:t xml:space="preserve"> </w:t>
      </w:r>
      <w:proofErr w:type="spellStart"/>
      <w:r w:rsidRPr="009E4B29">
        <w:rPr>
          <w:rFonts w:ascii="Palatino Linotype" w:hAnsi="Palatino Linotype"/>
          <w:color w:val="231F20"/>
          <w:sz w:val="22"/>
          <w:szCs w:val="22"/>
          <w:lang w:eastAsia="en-US"/>
        </w:rPr>
        <w:t>etc</w:t>
      </w:r>
      <w:proofErr w:type="spellEnd"/>
      <w:r w:rsidRPr="009E4B29">
        <w:rPr>
          <w:rFonts w:ascii="Palatino Linotype" w:hAnsi="Palatino Linotype"/>
          <w:color w:val="231F20"/>
          <w:sz w:val="22"/>
          <w:szCs w:val="22"/>
          <w:lang w:eastAsia="en-US"/>
        </w:rPr>
        <w:t>… Les options à discuter dépendront des lignes proposées par le rapport du Consultant</w:t>
      </w:r>
      <w:r w:rsidR="00FE1500">
        <w:rPr>
          <w:rFonts w:ascii="Palatino Linotype" w:hAnsi="Palatino Linotype"/>
          <w:color w:val="231F20"/>
          <w:sz w:val="22"/>
          <w:szCs w:val="22"/>
          <w:lang w:eastAsia="en-US"/>
        </w:rPr>
        <w:t>.</w:t>
      </w:r>
    </w:p>
    <w:p w:rsidR="005E6F45" w:rsidRPr="00EA17A1" w:rsidRDefault="005E6F45" w:rsidP="00EA17A1">
      <w:pPr>
        <w:autoSpaceDE w:val="0"/>
        <w:autoSpaceDN w:val="0"/>
        <w:adjustRightInd w:val="0"/>
        <w:spacing w:after="120"/>
        <w:jc w:val="center"/>
        <w:rPr>
          <w:rFonts w:ascii="ITC Avant Garde Gothic Demi" w:hAnsi="ITC Avant Garde Gothic Demi"/>
          <w:b/>
          <w:bCs/>
          <w:color w:val="006699"/>
          <w:sz w:val="20"/>
          <w:szCs w:val="20"/>
          <w:lang w:eastAsia="en-US"/>
        </w:rPr>
      </w:pPr>
      <w:r w:rsidRPr="00EA17A1">
        <w:rPr>
          <w:rFonts w:ascii="ITC Avant Garde Gothic Demi" w:hAnsi="ITC Avant Garde Gothic Demi"/>
          <w:b/>
          <w:bCs/>
          <w:color w:val="006699"/>
          <w:sz w:val="20"/>
          <w:szCs w:val="20"/>
          <w:lang w:eastAsia="en-US"/>
        </w:rPr>
        <w:t xml:space="preserve">Axe 4: Gouvernance financière en Afrique du Nord: Quelles institutions pour quelles règles ? </w:t>
      </w:r>
    </w:p>
    <w:p w:rsidR="005E6F45" w:rsidRPr="009E4B29" w:rsidRDefault="005E6F45" w:rsidP="001C5808">
      <w:pPr>
        <w:autoSpaceDE w:val="0"/>
        <w:autoSpaceDN w:val="0"/>
        <w:adjustRightInd w:val="0"/>
        <w:spacing w:after="120"/>
        <w:jc w:val="both"/>
        <w:rPr>
          <w:rFonts w:ascii="Palatino Linotype" w:hAnsi="Palatino Linotype"/>
          <w:sz w:val="22"/>
          <w:szCs w:val="22"/>
          <w:lang w:eastAsia="en-US"/>
        </w:rPr>
      </w:pPr>
      <w:r w:rsidRPr="009E4B29">
        <w:rPr>
          <w:rFonts w:ascii="Palatino Linotype" w:hAnsi="Palatino Linotype"/>
          <w:sz w:val="22"/>
          <w:szCs w:val="22"/>
          <w:lang w:eastAsia="en-US"/>
        </w:rPr>
        <w:t>L’absence et le besoin d’une volonté politique forte se matérialisant par la création  l’institution régionale effective est au cœur des débats concernant l’intégration économique, que l’on caractérise souvent comme tirée par le marché. Jusqu’où peut aller l’intégration économique sans volonté politique significative ? En ce qui concerne l’intégration économique définie comme l’intégration par le commerce et l’investissement régional, certains ont une vision optimiste. Pour C.R. Henning (2004), l’intégration économique peut se poursuivre même en l’absence d’institutions régionales robustes  et peut atteindre un niveau élevé même sans intégration monétaire et financière. Un projet d’intégration politique peut sans aucun doute renforcer l’intégration économique, mais n’est pas pour autant indispensable.</w:t>
      </w:r>
    </w:p>
    <w:p w:rsidR="005E6F45" w:rsidRPr="009E4B29" w:rsidRDefault="005E6F45" w:rsidP="000912A9">
      <w:pPr>
        <w:autoSpaceDE w:val="0"/>
        <w:autoSpaceDN w:val="0"/>
        <w:adjustRightInd w:val="0"/>
        <w:spacing w:after="240"/>
        <w:jc w:val="both"/>
        <w:rPr>
          <w:rFonts w:ascii="Palatino Linotype" w:hAnsi="Palatino Linotype"/>
          <w:sz w:val="22"/>
          <w:szCs w:val="22"/>
          <w:lang w:eastAsia="en-US"/>
        </w:rPr>
      </w:pPr>
      <w:r w:rsidRPr="009E4B29">
        <w:rPr>
          <w:rFonts w:ascii="Palatino Linotype" w:hAnsi="Palatino Linotype"/>
          <w:sz w:val="22"/>
          <w:szCs w:val="22"/>
          <w:lang w:eastAsia="en-US"/>
        </w:rPr>
        <w:t xml:space="preserve">Si l’aspiration à la paix est évidemment une condition nécessaire, un accord politique minimal sans aspiration à l’unité politique peut être suffisant. Au contraire, l’intégration monétaire et financière réclame elle un accord politique fort débouchant à terme sur des institutions régionales solides. C’est par exemple la position défendue par T. </w:t>
      </w:r>
      <w:proofErr w:type="spellStart"/>
      <w:r w:rsidRPr="009E4B29">
        <w:rPr>
          <w:rFonts w:ascii="Palatino Linotype" w:hAnsi="Palatino Linotype"/>
          <w:sz w:val="22"/>
          <w:szCs w:val="22"/>
          <w:lang w:eastAsia="en-US"/>
        </w:rPr>
        <w:t>Bayoumi</w:t>
      </w:r>
      <w:proofErr w:type="spellEnd"/>
      <w:r w:rsidRPr="009E4B29">
        <w:rPr>
          <w:rFonts w:ascii="Palatino Linotype" w:hAnsi="Palatino Linotype"/>
          <w:sz w:val="22"/>
          <w:szCs w:val="22"/>
          <w:lang w:eastAsia="en-US"/>
        </w:rPr>
        <w:t xml:space="preserve"> et B. </w:t>
      </w:r>
      <w:proofErr w:type="spellStart"/>
      <w:r w:rsidRPr="009E4B29">
        <w:rPr>
          <w:rFonts w:ascii="Palatino Linotype" w:hAnsi="Palatino Linotype"/>
          <w:sz w:val="22"/>
          <w:szCs w:val="22"/>
          <w:lang w:eastAsia="en-US"/>
        </w:rPr>
        <w:t>Eichengreen</w:t>
      </w:r>
      <w:proofErr w:type="spellEnd"/>
      <w:r w:rsidRPr="009E4B29">
        <w:rPr>
          <w:rFonts w:ascii="Palatino Linotype" w:hAnsi="Palatino Linotype"/>
          <w:sz w:val="22"/>
          <w:szCs w:val="22"/>
          <w:lang w:eastAsia="en-US"/>
        </w:rPr>
        <w:t xml:space="preserve"> (1999) dans le cas de l’Asi</w:t>
      </w:r>
      <w:r w:rsidR="00FE1500">
        <w:rPr>
          <w:rFonts w:ascii="Palatino Linotype" w:hAnsi="Palatino Linotype"/>
          <w:sz w:val="22"/>
          <w:szCs w:val="22"/>
          <w:lang w:eastAsia="en-US"/>
        </w:rPr>
        <w:t>e</w:t>
      </w:r>
      <w:r w:rsidRPr="009E4B29">
        <w:rPr>
          <w:rFonts w:ascii="Palatino Linotype" w:hAnsi="Palatino Linotype"/>
          <w:sz w:val="22"/>
          <w:szCs w:val="22"/>
          <w:lang w:eastAsia="en-US"/>
        </w:rPr>
        <w:t xml:space="preserve"> lorsqu’ils estiment que la coordination des politiques macro-économiques nécessaires à la mise en place d’un flottement coordonné des monnaies asiatiques, sans parler d’un système monétaire asiatique et a fortiori d’une monnaie unique, suppose un renoncement à la souveraineté de la politique monétaire nationale, crée des gagnants et des perdants, ce qui suppose des gouvernements qui en assument le coût politique, réalisent des compromis, et mettent en place les compensations nécessaires. B. Cohen (2003) va plus loin en soulignant le rôle primordial de la dimension politique des unions monétaires et rappelle qu’aucune union monétaire n’a vu le jour à partir de la seule reconnaissance des avantages économiques supposés. De ce point de vue, la </w:t>
      </w:r>
      <w:r w:rsidRPr="00FE1500">
        <w:rPr>
          <w:rFonts w:ascii="Palatino Linotype" w:hAnsi="Palatino Linotype"/>
          <w:sz w:val="20"/>
          <w:szCs w:val="20"/>
          <w:lang w:eastAsia="en-US"/>
        </w:rPr>
        <w:t>création</w:t>
      </w:r>
      <w:r w:rsidRPr="009E4B29">
        <w:rPr>
          <w:rFonts w:ascii="Palatino Linotype" w:hAnsi="Palatino Linotype"/>
          <w:sz w:val="22"/>
          <w:szCs w:val="22"/>
          <w:lang w:eastAsia="en-US"/>
        </w:rPr>
        <w:t xml:space="preserve"> de l’euro s’explique peut être plus par la volonté de poursuivre l’intégration politique de l’Union Européenne que par les seuls arguments économiques largement controversés.</w:t>
      </w:r>
    </w:p>
    <w:p w:rsidR="007D3E15" w:rsidRPr="004B0629" w:rsidRDefault="007D3E15" w:rsidP="004B0629">
      <w:pPr>
        <w:pStyle w:val="NormalWeb"/>
        <w:spacing w:before="0" w:beforeAutospacing="0" w:after="0" w:afterAutospacing="0"/>
        <w:jc w:val="both"/>
        <w:rPr>
          <w:rFonts w:ascii="ITC Avant Garde Gothic Demi" w:hAnsi="ITC Avant Garde Gothic Demi" w:cs="Arial"/>
          <w:b/>
          <w:bCs/>
          <w:color w:val="CC6600"/>
          <w:sz w:val="28"/>
          <w:szCs w:val="28"/>
        </w:rPr>
      </w:pPr>
      <w:r w:rsidRPr="004B0629">
        <w:rPr>
          <w:rFonts w:ascii="ITC Avant Garde Gothic Demi" w:hAnsi="ITC Avant Garde Gothic Demi" w:cs="Arial"/>
          <w:b/>
          <w:bCs/>
          <w:color w:val="CC6600"/>
          <w:sz w:val="28"/>
          <w:szCs w:val="28"/>
        </w:rPr>
        <w:lastRenderedPageBreak/>
        <w:t>Produits</w:t>
      </w:r>
    </w:p>
    <w:p w:rsidR="007454CA" w:rsidRPr="00D52713" w:rsidRDefault="007454CA" w:rsidP="00D52713">
      <w:pPr>
        <w:pStyle w:val="Listecouleur-Accent11"/>
        <w:spacing w:line="276" w:lineRule="auto"/>
        <w:ind w:left="0"/>
        <w:jc w:val="both"/>
        <w:rPr>
          <w:b/>
        </w:rPr>
      </w:pPr>
    </w:p>
    <w:p w:rsidR="00382DEA" w:rsidRDefault="007454CA" w:rsidP="00EA17A1">
      <w:pPr>
        <w:pStyle w:val="Listecouleur-Accent11"/>
        <w:spacing w:line="276" w:lineRule="auto"/>
        <w:ind w:left="0"/>
        <w:jc w:val="both"/>
        <w:rPr>
          <w:rFonts w:ascii="Palatino Linotype" w:hAnsi="Palatino Linotype"/>
          <w:sz w:val="22"/>
          <w:szCs w:val="22"/>
        </w:rPr>
      </w:pPr>
      <w:r w:rsidRPr="009E4B29">
        <w:rPr>
          <w:rFonts w:ascii="Palatino Linotype" w:hAnsi="Palatino Linotype"/>
          <w:sz w:val="22"/>
          <w:szCs w:val="22"/>
        </w:rPr>
        <w:t xml:space="preserve">A l’issue de </w:t>
      </w:r>
      <w:r w:rsidR="00382DEA" w:rsidRPr="009E4B29">
        <w:rPr>
          <w:rFonts w:ascii="Palatino Linotype" w:hAnsi="Palatino Linotype"/>
          <w:sz w:val="22"/>
          <w:szCs w:val="22"/>
        </w:rPr>
        <w:t xml:space="preserve">la réunion, </w:t>
      </w:r>
      <w:r w:rsidR="005E6F45" w:rsidRPr="009E4B29">
        <w:rPr>
          <w:rFonts w:ascii="Palatino Linotype" w:hAnsi="Palatino Linotype"/>
          <w:sz w:val="22"/>
          <w:szCs w:val="22"/>
        </w:rPr>
        <w:t>deux</w:t>
      </w:r>
      <w:r w:rsidR="00382DEA" w:rsidRPr="009E4B29">
        <w:rPr>
          <w:rFonts w:ascii="Palatino Linotype" w:hAnsi="Palatino Linotype"/>
          <w:sz w:val="22"/>
          <w:szCs w:val="22"/>
        </w:rPr>
        <w:t xml:space="preserve"> produits seront disponibles: </w:t>
      </w:r>
    </w:p>
    <w:p w:rsidR="00EA17A1" w:rsidRPr="00EA17A1" w:rsidRDefault="00EA17A1" w:rsidP="00EA17A1">
      <w:pPr>
        <w:pStyle w:val="Listecouleur-Accent11"/>
        <w:spacing w:line="276" w:lineRule="auto"/>
        <w:ind w:left="0"/>
        <w:jc w:val="both"/>
        <w:rPr>
          <w:rFonts w:ascii="Palatino Linotype" w:hAnsi="Palatino Linotype"/>
          <w:sz w:val="10"/>
          <w:szCs w:val="10"/>
        </w:rPr>
      </w:pPr>
    </w:p>
    <w:p w:rsidR="00382DEA" w:rsidRDefault="00382DEA" w:rsidP="008D515A">
      <w:pPr>
        <w:pStyle w:val="Listecouleur-Accent11"/>
        <w:numPr>
          <w:ilvl w:val="0"/>
          <w:numId w:val="38"/>
        </w:numPr>
        <w:spacing w:line="276" w:lineRule="auto"/>
        <w:jc w:val="both"/>
        <w:rPr>
          <w:rFonts w:ascii="Palatino Linotype" w:hAnsi="Palatino Linotype"/>
          <w:sz w:val="22"/>
          <w:szCs w:val="22"/>
        </w:rPr>
      </w:pPr>
      <w:r w:rsidRPr="009E4B29">
        <w:rPr>
          <w:rFonts w:ascii="Palatino Linotype" w:hAnsi="Palatino Linotype"/>
          <w:sz w:val="22"/>
          <w:szCs w:val="22"/>
        </w:rPr>
        <w:t xml:space="preserve">Un rapport de la réunion retraçant son déroulement et les recommandations qui en </w:t>
      </w:r>
      <w:r w:rsidR="00FE1500">
        <w:rPr>
          <w:rFonts w:ascii="Palatino Linotype" w:hAnsi="Palatino Linotype"/>
          <w:sz w:val="22"/>
          <w:szCs w:val="22"/>
        </w:rPr>
        <w:t>sont issues ;</w:t>
      </w:r>
    </w:p>
    <w:p w:rsidR="00FE1500" w:rsidRPr="00EA17A1" w:rsidRDefault="00FE1500" w:rsidP="00FE1500">
      <w:pPr>
        <w:pStyle w:val="Listecouleur-Accent11"/>
        <w:tabs>
          <w:tab w:val="left" w:pos="142"/>
        </w:tabs>
        <w:spacing w:line="276" w:lineRule="auto"/>
        <w:jc w:val="both"/>
        <w:rPr>
          <w:rFonts w:ascii="Palatino Linotype" w:hAnsi="Palatino Linotype"/>
          <w:sz w:val="10"/>
          <w:szCs w:val="10"/>
        </w:rPr>
      </w:pPr>
    </w:p>
    <w:p w:rsidR="007454CA" w:rsidRPr="009E4B29" w:rsidRDefault="00382DEA" w:rsidP="00382DEA">
      <w:pPr>
        <w:pStyle w:val="Listecouleur-Accent11"/>
        <w:numPr>
          <w:ilvl w:val="0"/>
          <w:numId w:val="38"/>
        </w:numPr>
        <w:spacing w:line="276" w:lineRule="auto"/>
        <w:jc w:val="both"/>
        <w:rPr>
          <w:rFonts w:ascii="Palatino Linotype" w:hAnsi="Palatino Linotype"/>
          <w:sz w:val="22"/>
          <w:szCs w:val="22"/>
        </w:rPr>
      </w:pPr>
      <w:r w:rsidRPr="009E4B29">
        <w:rPr>
          <w:rFonts w:ascii="Palatino Linotype" w:hAnsi="Palatino Linotype"/>
          <w:sz w:val="22"/>
          <w:szCs w:val="22"/>
        </w:rPr>
        <w:t xml:space="preserve"> Un relevé des propositions d’amélioration du rapport présenté par le consultant</w:t>
      </w:r>
      <w:r w:rsidR="00FE1500">
        <w:rPr>
          <w:rFonts w:ascii="Palatino Linotype" w:hAnsi="Palatino Linotype"/>
          <w:sz w:val="22"/>
          <w:szCs w:val="22"/>
        </w:rPr>
        <w:t>.</w:t>
      </w:r>
    </w:p>
    <w:p w:rsidR="00FE1500" w:rsidRDefault="00FE1500" w:rsidP="003A35BD">
      <w:pPr>
        <w:autoSpaceDE w:val="0"/>
        <w:autoSpaceDN w:val="0"/>
        <w:adjustRightInd w:val="0"/>
        <w:jc w:val="both"/>
        <w:rPr>
          <w:rFonts w:ascii="Palatino Linotype" w:hAnsi="Palatino Linotype"/>
          <w:sz w:val="22"/>
          <w:szCs w:val="22"/>
        </w:rPr>
      </w:pPr>
    </w:p>
    <w:p w:rsidR="005E6F45" w:rsidRPr="009E4B29" w:rsidRDefault="005E6F45" w:rsidP="003A35BD">
      <w:pPr>
        <w:autoSpaceDE w:val="0"/>
        <w:autoSpaceDN w:val="0"/>
        <w:adjustRightInd w:val="0"/>
        <w:jc w:val="both"/>
        <w:rPr>
          <w:rFonts w:ascii="Palatino Linotype" w:hAnsi="Palatino Linotype"/>
          <w:sz w:val="22"/>
          <w:szCs w:val="22"/>
        </w:rPr>
      </w:pPr>
      <w:r w:rsidRPr="009E4B29">
        <w:rPr>
          <w:rFonts w:ascii="Palatino Linotype" w:hAnsi="Palatino Linotype"/>
          <w:sz w:val="22"/>
          <w:szCs w:val="22"/>
        </w:rPr>
        <w:t xml:space="preserve">Ces deux produits serviront de support à l’amélioration du rapport sur l’intégration financière en Afrique du Nord. Le rapport ainsi amendé par le Consultant servira par la suite de base à la publication du Bureau sur l’intégration financière en Afrique du Nord. </w:t>
      </w:r>
      <w:r w:rsidR="00A04759" w:rsidRPr="009E4B29">
        <w:rPr>
          <w:rFonts w:ascii="Palatino Linotype" w:hAnsi="Palatino Linotype"/>
          <w:sz w:val="22"/>
          <w:szCs w:val="22"/>
        </w:rPr>
        <w:t>Ce dernier produit fera objet d’une très large diffusion.</w:t>
      </w:r>
    </w:p>
    <w:p w:rsidR="009B7B81" w:rsidRPr="00D52713" w:rsidRDefault="009B7B81" w:rsidP="003A35BD">
      <w:pPr>
        <w:autoSpaceDE w:val="0"/>
        <w:autoSpaceDN w:val="0"/>
        <w:adjustRightInd w:val="0"/>
        <w:jc w:val="both"/>
      </w:pPr>
    </w:p>
    <w:p w:rsidR="00E46941" w:rsidRPr="004B0629" w:rsidRDefault="00DE63CF" w:rsidP="004B0629">
      <w:pPr>
        <w:pStyle w:val="NormalWeb"/>
        <w:spacing w:before="0" w:beforeAutospacing="0" w:after="0" w:afterAutospacing="0"/>
        <w:jc w:val="both"/>
        <w:rPr>
          <w:rFonts w:ascii="ITC Avant Garde Gothic Demi" w:hAnsi="ITC Avant Garde Gothic Demi" w:cs="Arial"/>
          <w:b/>
          <w:bCs/>
          <w:color w:val="CC6600"/>
          <w:sz w:val="28"/>
          <w:szCs w:val="28"/>
        </w:rPr>
      </w:pPr>
      <w:r w:rsidRPr="004B0629">
        <w:rPr>
          <w:rFonts w:ascii="ITC Avant Garde Gothic Demi" w:hAnsi="ITC Avant Garde Gothic Demi" w:cs="Arial"/>
          <w:b/>
          <w:bCs/>
          <w:color w:val="CC6600"/>
          <w:sz w:val="28"/>
          <w:szCs w:val="28"/>
        </w:rPr>
        <w:t>Documentation et l</w:t>
      </w:r>
      <w:r w:rsidR="00DB7D53" w:rsidRPr="004B0629">
        <w:rPr>
          <w:rFonts w:ascii="ITC Avant Garde Gothic Demi" w:hAnsi="ITC Avant Garde Gothic Demi" w:cs="Arial"/>
          <w:b/>
          <w:bCs/>
          <w:color w:val="CC6600"/>
          <w:sz w:val="28"/>
          <w:szCs w:val="28"/>
        </w:rPr>
        <w:t xml:space="preserve">angues de </w:t>
      </w:r>
      <w:r w:rsidR="00DB7D53" w:rsidRPr="006D5221">
        <w:rPr>
          <w:rFonts w:ascii="ITC Avant Garde Gothic Demi" w:hAnsi="ITC Avant Garde Gothic Demi" w:cs="Arial"/>
          <w:b/>
          <w:bCs/>
          <w:color w:val="CC6600"/>
          <w:sz w:val="28"/>
          <w:szCs w:val="28"/>
        </w:rPr>
        <w:t>travail</w:t>
      </w:r>
    </w:p>
    <w:p w:rsidR="0005325C" w:rsidRDefault="0005325C" w:rsidP="003A35BD">
      <w:pPr>
        <w:autoSpaceDE w:val="0"/>
        <w:autoSpaceDN w:val="0"/>
        <w:adjustRightInd w:val="0"/>
        <w:jc w:val="both"/>
      </w:pPr>
    </w:p>
    <w:p w:rsidR="00DB7D53" w:rsidRPr="009E4B29" w:rsidRDefault="00DB7D53" w:rsidP="003A35BD">
      <w:pPr>
        <w:autoSpaceDE w:val="0"/>
        <w:autoSpaceDN w:val="0"/>
        <w:adjustRightInd w:val="0"/>
        <w:jc w:val="both"/>
        <w:rPr>
          <w:rFonts w:ascii="Palatino Linotype" w:hAnsi="Palatino Linotype"/>
          <w:sz w:val="22"/>
          <w:szCs w:val="22"/>
        </w:rPr>
      </w:pPr>
      <w:r w:rsidRPr="009E4B29">
        <w:rPr>
          <w:rFonts w:ascii="Palatino Linotype" w:hAnsi="Palatino Linotype"/>
          <w:sz w:val="22"/>
          <w:szCs w:val="22"/>
        </w:rPr>
        <w:t>Le</w:t>
      </w:r>
      <w:r w:rsidR="00DE63CF" w:rsidRPr="009E4B29">
        <w:rPr>
          <w:rFonts w:ascii="Palatino Linotype" w:hAnsi="Palatino Linotype"/>
          <w:sz w:val="22"/>
          <w:szCs w:val="22"/>
        </w:rPr>
        <w:t xml:space="preserve"> document de travail (synthèse de l’étude) et le programme de </w:t>
      </w:r>
      <w:r w:rsidR="00382DEA" w:rsidRPr="009E4B29">
        <w:rPr>
          <w:rFonts w:ascii="Palatino Linotype" w:hAnsi="Palatino Linotype"/>
          <w:sz w:val="22"/>
          <w:szCs w:val="22"/>
        </w:rPr>
        <w:t>la réunion</w:t>
      </w:r>
      <w:r w:rsidR="00DE63CF" w:rsidRPr="009E4B29">
        <w:rPr>
          <w:rFonts w:ascii="Palatino Linotype" w:hAnsi="Palatino Linotype"/>
          <w:sz w:val="22"/>
          <w:szCs w:val="22"/>
        </w:rPr>
        <w:t xml:space="preserve"> seront communiqués aux participants </w:t>
      </w:r>
      <w:r w:rsidR="00382DEA" w:rsidRPr="009E4B29">
        <w:rPr>
          <w:rFonts w:ascii="Palatino Linotype" w:hAnsi="Palatino Linotype"/>
          <w:sz w:val="22"/>
          <w:szCs w:val="22"/>
        </w:rPr>
        <w:t>en temps opportun</w:t>
      </w:r>
      <w:r w:rsidR="00DE63CF" w:rsidRPr="009E4B29">
        <w:rPr>
          <w:rFonts w:ascii="Palatino Linotype" w:hAnsi="Palatino Linotype"/>
          <w:sz w:val="22"/>
          <w:szCs w:val="22"/>
        </w:rPr>
        <w:t>. Le</w:t>
      </w:r>
      <w:r w:rsidRPr="009E4B29">
        <w:rPr>
          <w:rFonts w:ascii="Palatino Linotype" w:hAnsi="Palatino Linotype"/>
          <w:sz w:val="22"/>
          <w:szCs w:val="22"/>
        </w:rPr>
        <w:t xml:space="preserve">s travaux de </w:t>
      </w:r>
      <w:r w:rsidR="00382DEA" w:rsidRPr="009E4B29">
        <w:rPr>
          <w:rFonts w:ascii="Palatino Linotype" w:hAnsi="Palatino Linotype"/>
          <w:sz w:val="22"/>
          <w:szCs w:val="22"/>
        </w:rPr>
        <w:t>la réunion</w:t>
      </w:r>
      <w:r w:rsidR="00B80E8D" w:rsidRPr="009E4B29">
        <w:rPr>
          <w:rFonts w:ascii="Palatino Linotype" w:hAnsi="Palatino Linotype"/>
          <w:sz w:val="22"/>
          <w:szCs w:val="22"/>
        </w:rPr>
        <w:t xml:space="preserve"> </w:t>
      </w:r>
      <w:r w:rsidRPr="009E4B29">
        <w:rPr>
          <w:rFonts w:ascii="Palatino Linotype" w:hAnsi="Palatino Linotype"/>
          <w:sz w:val="22"/>
          <w:szCs w:val="22"/>
        </w:rPr>
        <w:t xml:space="preserve"> se dérouleront en </w:t>
      </w:r>
      <w:r w:rsidR="00320B00" w:rsidRPr="009E4B29">
        <w:rPr>
          <w:rFonts w:ascii="Palatino Linotype" w:hAnsi="Palatino Linotype"/>
          <w:sz w:val="22"/>
          <w:szCs w:val="22"/>
        </w:rPr>
        <w:t>f</w:t>
      </w:r>
      <w:r w:rsidR="007454CA" w:rsidRPr="009E4B29">
        <w:rPr>
          <w:rFonts w:ascii="Palatino Linotype" w:hAnsi="Palatino Linotype"/>
          <w:sz w:val="22"/>
          <w:szCs w:val="22"/>
        </w:rPr>
        <w:t>rançais</w:t>
      </w:r>
      <w:r w:rsidR="0098495E" w:rsidRPr="009E4B29">
        <w:rPr>
          <w:rFonts w:ascii="Palatino Linotype" w:hAnsi="Palatino Linotype"/>
          <w:sz w:val="22"/>
          <w:szCs w:val="22"/>
        </w:rPr>
        <w:t xml:space="preserve"> et en anglais</w:t>
      </w:r>
      <w:r w:rsidR="0016241F" w:rsidRPr="009E4B29">
        <w:rPr>
          <w:rFonts w:ascii="Palatino Linotype" w:hAnsi="Palatino Linotype"/>
          <w:sz w:val="22"/>
          <w:szCs w:val="22"/>
        </w:rPr>
        <w:t>, avec interprétation simultanée dans les deux langues</w:t>
      </w:r>
      <w:r w:rsidR="007454CA" w:rsidRPr="009E4B29">
        <w:rPr>
          <w:rFonts w:ascii="Palatino Linotype" w:hAnsi="Palatino Linotype"/>
          <w:sz w:val="22"/>
          <w:szCs w:val="22"/>
        </w:rPr>
        <w:t>.</w:t>
      </w:r>
      <w:r w:rsidRPr="009E4B29">
        <w:rPr>
          <w:rFonts w:ascii="Palatino Linotype" w:hAnsi="Palatino Linotype"/>
          <w:sz w:val="22"/>
          <w:szCs w:val="22"/>
        </w:rPr>
        <w:t xml:space="preserve"> </w:t>
      </w:r>
    </w:p>
    <w:p w:rsidR="003A35BD" w:rsidRDefault="003A35BD" w:rsidP="003A35BD">
      <w:pPr>
        <w:autoSpaceDE w:val="0"/>
        <w:autoSpaceDN w:val="0"/>
        <w:adjustRightInd w:val="0"/>
        <w:jc w:val="both"/>
      </w:pPr>
    </w:p>
    <w:p w:rsidR="00DB7D53" w:rsidRPr="004B0629" w:rsidRDefault="002472E1" w:rsidP="004B0629">
      <w:pPr>
        <w:pStyle w:val="NormalWeb"/>
        <w:spacing w:before="0" w:beforeAutospacing="0" w:after="0" w:afterAutospacing="0"/>
        <w:jc w:val="both"/>
        <w:rPr>
          <w:rFonts w:ascii="ITC Avant Garde Gothic Demi" w:hAnsi="ITC Avant Garde Gothic Demi" w:cs="Arial"/>
          <w:b/>
          <w:bCs/>
          <w:color w:val="CC6600"/>
          <w:sz w:val="28"/>
          <w:szCs w:val="28"/>
        </w:rPr>
      </w:pPr>
      <w:r w:rsidRPr="004B0629">
        <w:rPr>
          <w:rFonts w:ascii="ITC Avant Garde Gothic Demi" w:hAnsi="ITC Avant Garde Gothic Demi" w:cs="Arial"/>
          <w:b/>
          <w:bCs/>
          <w:color w:val="CC6600"/>
          <w:sz w:val="28"/>
          <w:szCs w:val="28"/>
        </w:rPr>
        <w:t>Date</w:t>
      </w:r>
      <w:r w:rsidR="00DF2597" w:rsidRPr="004B0629">
        <w:rPr>
          <w:rFonts w:ascii="ITC Avant Garde Gothic Demi" w:hAnsi="ITC Avant Garde Gothic Demi" w:cs="Arial"/>
          <w:b/>
          <w:bCs/>
          <w:color w:val="CC6600"/>
          <w:sz w:val="28"/>
          <w:szCs w:val="28"/>
        </w:rPr>
        <w:t>s</w:t>
      </w:r>
      <w:r w:rsidRPr="004B0629">
        <w:rPr>
          <w:rFonts w:ascii="ITC Avant Garde Gothic Demi" w:hAnsi="ITC Avant Garde Gothic Demi" w:cs="Arial"/>
          <w:b/>
          <w:bCs/>
          <w:color w:val="CC6600"/>
          <w:sz w:val="28"/>
          <w:szCs w:val="28"/>
        </w:rPr>
        <w:t xml:space="preserve"> et l</w:t>
      </w:r>
      <w:r w:rsidR="00DB7D53" w:rsidRPr="004B0629">
        <w:rPr>
          <w:rFonts w:ascii="ITC Avant Garde Gothic Demi" w:hAnsi="ITC Avant Garde Gothic Demi" w:cs="Arial"/>
          <w:b/>
          <w:bCs/>
          <w:color w:val="CC6600"/>
          <w:sz w:val="28"/>
          <w:szCs w:val="28"/>
        </w:rPr>
        <w:t xml:space="preserve">ieu de la réunion   </w:t>
      </w:r>
    </w:p>
    <w:p w:rsidR="0005325C" w:rsidRDefault="0005325C" w:rsidP="003A35BD">
      <w:pPr>
        <w:autoSpaceDE w:val="0"/>
        <w:autoSpaceDN w:val="0"/>
        <w:adjustRightInd w:val="0"/>
        <w:jc w:val="both"/>
      </w:pPr>
    </w:p>
    <w:p w:rsidR="00DB7D53" w:rsidRPr="009E4B29" w:rsidRDefault="00A349A5" w:rsidP="003A35BD">
      <w:pPr>
        <w:autoSpaceDE w:val="0"/>
        <w:autoSpaceDN w:val="0"/>
        <w:adjustRightInd w:val="0"/>
        <w:jc w:val="both"/>
        <w:rPr>
          <w:rFonts w:ascii="Palatino Linotype" w:hAnsi="Palatino Linotype"/>
          <w:sz w:val="22"/>
          <w:szCs w:val="22"/>
        </w:rPr>
      </w:pPr>
      <w:r w:rsidRPr="009E4B29">
        <w:rPr>
          <w:rFonts w:ascii="Palatino Linotype" w:hAnsi="Palatino Linotype"/>
          <w:sz w:val="22"/>
          <w:szCs w:val="22"/>
        </w:rPr>
        <w:t xml:space="preserve">La réunion se déroulera les </w:t>
      </w:r>
      <w:r w:rsidR="002176AB" w:rsidRPr="009E4B29">
        <w:rPr>
          <w:rFonts w:ascii="Palatino Linotype" w:hAnsi="Palatino Linotype"/>
          <w:sz w:val="22"/>
          <w:szCs w:val="22"/>
        </w:rPr>
        <w:t>3</w:t>
      </w:r>
      <w:r w:rsidRPr="009E4B29">
        <w:rPr>
          <w:rFonts w:ascii="Palatino Linotype" w:hAnsi="Palatino Linotype"/>
          <w:sz w:val="22"/>
          <w:szCs w:val="22"/>
        </w:rPr>
        <w:t xml:space="preserve"> et</w:t>
      </w:r>
      <w:r w:rsidR="00D003D3" w:rsidRPr="009E4B29">
        <w:rPr>
          <w:rFonts w:ascii="Palatino Linotype" w:hAnsi="Palatino Linotype"/>
          <w:sz w:val="22"/>
          <w:szCs w:val="22"/>
        </w:rPr>
        <w:t xml:space="preserve"> </w:t>
      </w:r>
      <w:r w:rsidR="002176AB" w:rsidRPr="009E4B29">
        <w:rPr>
          <w:rFonts w:ascii="Palatino Linotype" w:hAnsi="Palatino Linotype"/>
          <w:sz w:val="22"/>
          <w:szCs w:val="22"/>
        </w:rPr>
        <w:t>4</w:t>
      </w:r>
      <w:r w:rsidR="0073768F" w:rsidRPr="009E4B29">
        <w:rPr>
          <w:rFonts w:ascii="Palatino Linotype" w:hAnsi="Palatino Linotype"/>
          <w:sz w:val="22"/>
          <w:szCs w:val="22"/>
        </w:rPr>
        <w:t xml:space="preserve"> </w:t>
      </w:r>
      <w:r w:rsidR="00382DEA" w:rsidRPr="009E4B29">
        <w:rPr>
          <w:rFonts w:ascii="Palatino Linotype" w:hAnsi="Palatino Linotype"/>
          <w:sz w:val="22"/>
          <w:szCs w:val="22"/>
        </w:rPr>
        <w:t>juillet</w:t>
      </w:r>
      <w:r w:rsidR="002472E1" w:rsidRPr="009E4B29">
        <w:rPr>
          <w:rFonts w:ascii="Palatino Linotype" w:hAnsi="Palatino Linotype"/>
          <w:sz w:val="22"/>
          <w:szCs w:val="22"/>
        </w:rPr>
        <w:t xml:space="preserve"> 201</w:t>
      </w:r>
      <w:r w:rsidR="0073768F" w:rsidRPr="009E4B29">
        <w:rPr>
          <w:rFonts w:ascii="Palatino Linotype" w:hAnsi="Palatino Linotype"/>
          <w:sz w:val="22"/>
          <w:szCs w:val="22"/>
        </w:rPr>
        <w:t>2</w:t>
      </w:r>
      <w:r w:rsidR="002472E1" w:rsidRPr="009E4B29">
        <w:rPr>
          <w:rFonts w:ascii="Palatino Linotype" w:hAnsi="Palatino Linotype"/>
          <w:sz w:val="22"/>
          <w:szCs w:val="22"/>
        </w:rPr>
        <w:t xml:space="preserve"> à </w:t>
      </w:r>
      <w:r w:rsidR="00382DEA" w:rsidRPr="009E4B29">
        <w:rPr>
          <w:rFonts w:ascii="Palatino Linotype" w:hAnsi="Palatino Linotype"/>
          <w:sz w:val="22"/>
          <w:szCs w:val="22"/>
        </w:rPr>
        <w:t>Casablanca</w:t>
      </w:r>
      <w:r w:rsidR="00E907DB" w:rsidRPr="009E4B29">
        <w:rPr>
          <w:rFonts w:ascii="Palatino Linotype" w:hAnsi="Palatino Linotype"/>
          <w:sz w:val="22"/>
          <w:szCs w:val="22"/>
        </w:rPr>
        <w:t xml:space="preserve">  au </w:t>
      </w:r>
      <w:r w:rsidR="00F845B3" w:rsidRPr="009E4B29">
        <w:rPr>
          <w:rFonts w:ascii="Palatino Linotype" w:hAnsi="Palatino Linotype"/>
          <w:sz w:val="22"/>
          <w:szCs w:val="22"/>
        </w:rPr>
        <w:t xml:space="preserve"> </w:t>
      </w:r>
      <w:r w:rsidR="00DB7D53" w:rsidRPr="009E4B29">
        <w:rPr>
          <w:rFonts w:ascii="Palatino Linotype" w:hAnsi="Palatino Linotype"/>
          <w:sz w:val="22"/>
          <w:szCs w:val="22"/>
        </w:rPr>
        <w:t>Maroc</w:t>
      </w:r>
      <w:r w:rsidR="00F845B3" w:rsidRPr="009E4B29">
        <w:rPr>
          <w:rFonts w:ascii="Palatino Linotype" w:hAnsi="Palatino Linotype"/>
          <w:sz w:val="22"/>
          <w:szCs w:val="22"/>
        </w:rPr>
        <w:t>.</w:t>
      </w:r>
      <w:r w:rsidR="00DB7D53" w:rsidRPr="009E4B29">
        <w:rPr>
          <w:rFonts w:ascii="Palatino Linotype" w:hAnsi="Palatino Linotype"/>
          <w:sz w:val="22"/>
          <w:szCs w:val="22"/>
        </w:rPr>
        <w:t xml:space="preserve"> </w:t>
      </w:r>
    </w:p>
    <w:p w:rsidR="00911311" w:rsidRDefault="00911311" w:rsidP="00D52713">
      <w:pPr>
        <w:spacing w:line="276" w:lineRule="auto"/>
        <w:jc w:val="both"/>
      </w:pPr>
    </w:p>
    <w:p w:rsidR="00DB7D53" w:rsidRPr="004B0629" w:rsidRDefault="000D6397" w:rsidP="004B0629">
      <w:pPr>
        <w:pStyle w:val="NormalWeb"/>
        <w:spacing w:before="0" w:beforeAutospacing="0" w:after="0" w:afterAutospacing="0"/>
        <w:jc w:val="both"/>
        <w:rPr>
          <w:rFonts w:ascii="ITC Avant Garde Gothic Demi" w:hAnsi="ITC Avant Garde Gothic Demi" w:cs="Arial"/>
          <w:b/>
          <w:bCs/>
          <w:color w:val="CC6600"/>
          <w:sz w:val="28"/>
          <w:szCs w:val="28"/>
        </w:rPr>
      </w:pPr>
      <w:r w:rsidRPr="004B0629">
        <w:rPr>
          <w:rFonts w:ascii="ITC Avant Garde Gothic Demi" w:hAnsi="ITC Avant Garde Gothic Demi" w:cs="Arial"/>
          <w:b/>
          <w:bCs/>
          <w:color w:val="CC6600"/>
          <w:sz w:val="28"/>
          <w:szCs w:val="28"/>
        </w:rPr>
        <w:t>Personne</w:t>
      </w:r>
      <w:r w:rsidR="00F845B3" w:rsidRPr="004B0629">
        <w:rPr>
          <w:rFonts w:ascii="ITC Avant Garde Gothic Demi" w:hAnsi="ITC Avant Garde Gothic Demi" w:cs="Arial"/>
          <w:b/>
          <w:bCs/>
          <w:color w:val="CC6600"/>
          <w:sz w:val="28"/>
          <w:szCs w:val="28"/>
        </w:rPr>
        <w:t>s</w:t>
      </w:r>
      <w:r w:rsidRPr="004B0629">
        <w:rPr>
          <w:rFonts w:ascii="ITC Avant Garde Gothic Demi" w:hAnsi="ITC Avant Garde Gothic Demi" w:cs="Arial"/>
          <w:b/>
          <w:bCs/>
          <w:color w:val="CC6600"/>
          <w:sz w:val="28"/>
          <w:szCs w:val="28"/>
        </w:rPr>
        <w:t xml:space="preserve"> à contacter </w:t>
      </w:r>
      <w:r w:rsidR="00DB7D53" w:rsidRPr="004B0629">
        <w:rPr>
          <w:rFonts w:ascii="ITC Avant Garde Gothic Demi" w:hAnsi="ITC Avant Garde Gothic Demi" w:cs="Arial"/>
          <w:b/>
          <w:bCs/>
          <w:color w:val="CC6600"/>
          <w:sz w:val="28"/>
          <w:szCs w:val="28"/>
        </w:rPr>
        <w:t xml:space="preserve"> </w:t>
      </w:r>
      <w:r w:rsidR="00DB7D53" w:rsidRPr="004B0629">
        <w:rPr>
          <w:rFonts w:ascii="ITC Avant Garde Gothic Demi" w:hAnsi="ITC Avant Garde Gothic Demi" w:cs="Arial"/>
          <w:b/>
          <w:bCs/>
          <w:color w:val="CC6600"/>
          <w:sz w:val="28"/>
          <w:szCs w:val="28"/>
        </w:rPr>
        <w:tab/>
        <w:t xml:space="preserve"> </w:t>
      </w:r>
    </w:p>
    <w:p w:rsidR="00DB7D53" w:rsidRPr="00D52713" w:rsidRDefault="00DB7D53" w:rsidP="00D52713">
      <w:pPr>
        <w:spacing w:line="276" w:lineRule="auto"/>
        <w:jc w:val="both"/>
        <w:rPr>
          <w:bCs/>
        </w:rPr>
      </w:pPr>
    </w:p>
    <w:p w:rsidR="0005325C" w:rsidRDefault="0005325C" w:rsidP="0005325C">
      <w:pPr>
        <w:jc w:val="both"/>
        <w:rPr>
          <w:bCs/>
        </w:rPr>
        <w:sectPr w:rsidR="0005325C" w:rsidSect="00415DC1">
          <w:type w:val="continuous"/>
          <w:pgSz w:w="11906" w:h="16838"/>
          <w:pgMar w:top="1701" w:right="1134" w:bottom="993" w:left="1134" w:header="284" w:footer="407" w:gutter="0"/>
          <w:cols w:space="708"/>
          <w:titlePg/>
          <w:docGrid w:linePitch="360"/>
        </w:sectPr>
      </w:pPr>
    </w:p>
    <w:p w:rsidR="00493DBD" w:rsidRPr="00EA17A1" w:rsidRDefault="00843173" w:rsidP="009E4B29">
      <w:pPr>
        <w:autoSpaceDE w:val="0"/>
        <w:autoSpaceDN w:val="0"/>
        <w:adjustRightInd w:val="0"/>
        <w:jc w:val="both"/>
        <w:rPr>
          <w:rFonts w:ascii="Palatino Linotype" w:hAnsi="Palatino Linotype"/>
          <w:b/>
          <w:bCs/>
          <w:color w:val="1F497D" w:themeColor="text2"/>
          <w:sz w:val="22"/>
          <w:szCs w:val="22"/>
        </w:rPr>
      </w:pPr>
      <w:r w:rsidRPr="00EA17A1">
        <w:rPr>
          <w:rFonts w:ascii="Palatino Linotype" w:hAnsi="Palatino Linotype"/>
          <w:b/>
          <w:bCs/>
          <w:color w:val="1F497D" w:themeColor="text2"/>
          <w:sz w:val="22"/>
          <w:szCs w:val="22"/>
        </w:rPr>
        <w:lastRenderedPageBreak/>
        <w:t>Directrice du Bureau</w:t>
      </w:r>
      <w:r w:rsidR="00493DBD" w:rsidRPr="00EA17A1">
        <w:rPr>
          <w:rFonts w:ascii="Palatino Linotype" w:hAnsi="Palatino Linotype"/>
          <w:b/>
          <w:bCs/>
          <w:color w:val="1F497D" w:themeColor="text2"/>
          <w:sz w:val="22"/>
          <w:szCs w:val="22"/>
        </w:rPr>
        <w:t>:</w:t>
      </w:r>
    </w:p>
    <w:p w:rsidR="00493DBD" w:rsidRPr="00EA17A1" w:rsidRDefault="00493DBD" w:rsidP="009E4B29">
      <w:pPr>
        <w:autoSpaceDE w:val="0"/>
        <w:autoSpaceDN w:val="0"/>
        <w:adjustRightInd w:val="0"/>
        <w:jc w:val="both"/>
        <w:rPr>
          <w:rFonts w:ascii="Palatino Linotype" w:hAnsi="Palatino Linotype"/>
          <w:color w:val="1F497D" w:themeColor="text2"/>
          <w:sz w:val="22"/>
          <w:szCs w:val="22"/>
        </w:rPr>
      </w:pPr>
      <w:r w:rsidRPr="00EA17A1">
        <w:rPr>
          <w:rFonts w:ascii="Palatino Linotype" w:hAnsi="Palatino Linotype"/>
          <w:color w:val="1F497D" w:themeColor="text2"/>
          <w:sz w:val="22"/>
          <w:szCs w:val="22"/>
        </w:rPr>
        <w:t>Mme Karima Bounemra Ben Soltane</w:t>
      </w:r>
    </w:p>
    <w:p w:rsidR="00493DBD" w:rsidRPr="00EA17A1" w:rsidRDefault="00493DBD" w:rsidP="009E4B29">
      <w:pPr>
        <w:autoSpaceDE w:val="0"/>
        <w:autoSpaceDN w:val="0"/>
        <w:adjustRightInd w:val="0"/>
        <w:jc w:val="both"/>
        <w:rPr>
          <w:rFonts w:ascii="Palatino Linotype" w:hAnsi="Palatino Linotype"/>
          <w:color w:val="1F497D" w:themeColor="text2"/>
          <w:sz w:val="22"/>
          <w:szCs w:val="22"/>
        </w:rPr>
      </w:pPr>
      <w:r w:rsidRPr="00EA17A1">
        <w:rPr>
          <w:rFonts w:ascii="Palatino Linotype" w:hAnsi="Palatino Linotype"/>
          <w:color w:val="1F497D" w:themeColor="text2"/>
          <w:sz w:val="22"/>
          <w:szCs w:val="22"/>
        </w:rPr>
        <w:t>kbounemra@uneca.org</w:t>
      </w:r>
    </w:p>
    <w:p w:rsidR="00493DBD" w:rsidRPr="00EA17A1" w:rsidRDefault="00841787" w:rsidP="009E4B29">
      <w:pPr>
        <w:autoSpaceDE w:val="0"/>
        <w:autoSpaceDN w:val="0"/>
        <w:adjustRightInd w:val="0"/>
        <w:jc w:val="both"/>
        <w:rPr>
          <w:rFonts w:ascii="Palatino Linotype" w:hAnsi="Palatino Linotype"/>
          <w:color w:val="1F497D" w:themeColor="text2"/>
          <w:sz w:val="22"/>
          <w:szCs w:val="22"/>
        </w:rPr>
      </w:pPr>
      <w:r w:rsidRPr="00EA17A1">
        <w:rPr>
          <w:rFonts w:ascii="Palatino Linotype" w:hAnsi="Palatino Linotype"/>
          <w:color w:val="1F497D" w:themeColor="text2"/>
          <w:sz w:val="22"/>
          <w:szCs w:val="22"/>
        </w:rPr>
        <w:t>Tel : +212</w:t>
      </w:r>
      <w:r w:rsidR="009E4B29" w:rsidRPr="00EA17A1">
        <w:rPr>
          <w:rFonts w:ascii="Palatino Linotype" w:hAnsi="Palatino Linotype"/>
          <w:color w:val="1F497D" w:themeColor="text2"/>
          <w:sz w:val="22"/>
          <w:szCs w:val="22"/>
        </w:rPr>
        <w:t> </w:t>
      </w:r>
      <w:r w:rsidRPr="00EA17A1">
        <w:rPr>
          <w:rFonts w:ascii="Palatino Linotype" w:hAnsi="Palatino Linotype"/>
          <w:color w:val="1F497D" w:themeColor="text2"/>
          <w:sz w:val="22"/>
          <w:szCs w:val="22"/>
        </w:rPr>
        <w:t>537</w:t>
      </w:r>
      <w:r w:rsidR="009E4B29" w:rsidRPr="00EA17A1">
        <w:rPr>
          <w:rFonts w:ascii="Palatino Linotype" w:hAnsi="Palatino Linotype"/>
          <w:color w:val="1F497D" w:themeColor="text2"/>
          <w:sz w:val="22"/>
          <w:szCs w:val="22"/>
        </w:rPr>
        <w:t> </w:t>
      </w:r>
      <w:r w:rsidRPr="00EA17A1">
        <w:rPr>
          <w:rFonts w:ascii="Palatino Linotype" w:hAnsi="Palatino Linotype"/>
          <w:color w:val="1F497D" w:themeColor="text2"/>
          <w:sz w:val="22"/>
          <w:szCs w:val="22"/>
        </w:rPr>
        <w:t>715</w:t>
      </w:r>
      <w:r w:rsidR="009E4B29" w:rsidRPr="00EA17A1">
        <w:rPr>
          <w:rFonts w:ascii="Palatino Linotype" w:hAnsi="Palatino Linotype"/>
          <w:color w:val="1F497D" w:themeColor="text2"/>
          <w:sz w:val="22"/>
          <w:szCs w:val="22"/>
        </w:rPr>
        <w:t xml:space="preserve"> </w:t>
      </w:r>
      <w:r w:rsidRPr="00EA17A1">
        <w:rPr>
          <w:rFonts w:ascii="Palatino Linotype" w:hAnsi="Palatino Linotype"/>
          <w:color w:val="1F497D" w:themeColor="text2"/>
          <w:sz w:val="22"/>
          <w:szCs w:val="22"/>
        </w:rPr>
        <w:t>6</w:t>
      </w:r>
      <w:r w:rsidR="00493DBD" w:rsidRPr="00EA17A1">
        <w:rPr>
          <w:rFonts w:ascii="Palatino Linotype" w:hAnsi="Palatino Linotype"/>
          <w:color w:val="1F497D" w:themeColor="text2"/>
          <w:sz w:val="22"/>
          <w:szCs w:val="22"/>
        </w:rPr>
        <w:t xml:space="preserve">13  ou  </w:t>
      </w:r>
      <w:r w:rsidRPr="00EA17A1">
        <w:rPr>
          <w:rFonts w:ascii="Palatino Linotype" w:hAnsi="Palatino Linotype"/>
          <w:color w:val="1F497D" w:themeColor="text2"/>
          <w:sz w:val="22"/>
          <w:szCs w:val="22"/>
        </w:rPr>
        <w:t>+212</w:t>
      </w:r>
      <w:r w:rsidR="009E4B29" w:rsidRPr="00EA17A1">
        <w:rPr>
          <w:rFonts w:ascii="Palatino Linotype" w:hAnsi="Palatino Linotype"/>
          <w:color w:val="1F497D" w:themeColor="text2"/>
          <w:sz w:val="22"/>
          <w:szCs w:val="22"/>
        </w:rPr>
        <w:t> </w:t>
      </w:r>
      <w:r w:rsidRPr="00EA17A1">
        <w:rPr>
          <w:rFonts w:ascii="Palatino Linotype" w:hAnsi="Palatino Linotype"/>
          <w:color w:val="1F497D" w:themeColor="text2"/>
          <w:sz w:val="22"/>
          <w:szCs w:val="22"/>
        </w:rPr>
        <w:t>537</w:t>
      </w:r>
      <w:r w:rsidR="009E4B29" w:rsidRPr="00EA17A1">
        <w:rPr>
          <w:rFonts w:ascii="Palatino Linotype" w:hAnsi="Palatino Linotype"/>
          <w:color w:val="1F497D" w:themeColor="text2"/>
          <w:sz w:val="22"/>
          <w:szCs w:val="22"/>
        </w:rPr>
        <w:t> </w:t>
      </w:r>
      <w:r w:rsidRPr="00EA17A1">
        <w:rPr>
          <w:rFonts w:ascii="Palatino Linotype" w:hAnsi="Palatino Linotype"/>
          <w:color w:val="1F497D" w:themeColor="text2"/>
          <w:sz w:val="22"/>
          <w:szCs w:val="22"/>
        </w:rPr>
        <w:t>717</w:t>
      </w:r>
      <w:r w:rsidR="009E4B29" w:rsidRPr="00EA17A1">
        <w:rPr>
          <w:rFonts w:ascii="Palatino Linotype" w:hAnsi="Palatino Linotype"/>
          <w:color w:val="1F497D" w:themeColor="text2"/>
          <w:sz w:val="22"/>
          <w:szCs w:val="22"/>
        </w:rPr>
        <w:t xml:space="preserve"> </w:t>
      </w:r>
      <w:r w:rsidRPr="00EA17A1">
        <w:rPr>
          <w:rFonts w:ascii="Palatino Linotype" w:hAnsi="Palatino Linotype"/>
          <w:color w:val="1F497D" w:themeColor="text2"/>
          <w:sz w:val="22"/>
          <w:szCs w:val="22"/>
        </w:rPr>
        <w:t>8</w:t>
      </w:r>
      <w:r w:rsidR="00493DBD" w:rsidRPr="00EA17A1">
        <w:rPr>
          <w:rFonts w:ascii="Palatino Linotype" w:hAnsi="Palatino Linotype"/>
          <w:color w:val="1F497D" w:themeColor="text2"/>
          <w:sz w:val="22"/>
          <w:szCs w:val="22"/>
        </w:rPr>
        <w:t>29</w:t>
      </w:r>
    </w:p>
    <w:p w:rsidR="00493DBD" w:rsidRPr="00EA17A1" w:rsidRDefault="006A2F31" w:rsidP="009E4B29">
      <w:pPr>
        <w:autoSpaceDE w:val="0"/>
        <w:autoSpaceDN w:val="0"/>
        <w:adjustRightInd w:val="0"/>
        <w:jc w:val="both"/>
        <w:rPr>
          <w:rFonts w:ascii="Palatino Linotype" w:hAnsi="Palatino Linotype"/>
          <w:color w:val="1F497D" w:themeColor="text2"/>
          <w:sz w:val="22"/>
          <w:szCs w:val="22"/>
        </w:rPr>
      </w:pPr>
      <w:proofErr w:type="gramStart"/>
      <w:r>
        <w:rPr>
          <w:rFonts w:ascii="Palatino Linotype" w:hAnsi="Palatino Linotype"/>
          <w:color w:val="1F497D" w:themeColor="text2"/>
          <w:sz w:val="22"/>
          <w:szCs w:val="22"/>
        </w:rPr>
        <w:t>c</w:t>
      </w:r>
      <w:proofErr w:type="gramEnd"/>
    </w:p>
    <w:p w:rsidR="00493DBD" w:rsidRPr="00EA17A1" w:rsidRDefault="00493DBD" w:rsidP="00843173">
      <w:pPr>
        <w:autoSpaceDE w:val="0"/>
        <w:autoSpaceDN w:val="0"/>
        <w:adjustRightInd w:val="0"/>
        <w:jc w:val="both"/>
        <w:rPr>
          <w:rFonts w:ascii="Palatino Linotype" w:hAnsi="Palatino Linotype"/>
          <w:b/>
          <w:bCs/>
          <w:color w:val="1F497D" w:themeColor="text2"/>
          <w:sz w:val="22"/>
          <w:szCs w:val="22"/>
        </w:rPr>
      </w:pPr>
      <w:r w:rsidRPr="00EA17A1">
        <w:rPr>
          <w:rFonts w:ascii="Palatino Linotype" w:hAnsi="Palatino Linotype"/>
          <w:b/>
          <w:bCs/>
          <w:color w:val="1F497D" w:themeColor="text2"/>
          <w:sz w:val="22"/>
          <w:szCs w:val="22"/>
        </w:rPr>
        <w:t>Coordination:</w:t>
      </w:r>
    </w:p>
    <w:p w:rsidR="00493DBD" w:rsidRPr="00EA17A1" w:rsidRDefault="00493DBD" w:rsidP="009E4B29">
      <w:pPr>
        <w:autoSpaceDE w:val="0"/>
        <w:autoSpaceDN w:val="0"/>
        <w:adjustRightInd w:val="0"/>
        <w:jc w:val="both"/>
        <w:rPr>
          <w:rFonts w:ascii="Palatino Linotype" w:hAnsi="Palatino Linotype"/>
          <w:color w:val="1F497D" w:themeColor="text2"/>
          <w:sz w:val="22"/>
          <w:szCs w:val="22"/>
        </w:rPr>
      </w:pPr>
      <w:r w:rsidRPr="00EA17A1">
        <w:rPr>
          <w:rFonts w:ascii="Palatino Linotype" w:hAnsi="Palatino Linotype"/>
          <w:color w:val="1F497D" w:themeColor="text2"/>
          <w:sz w:val="22"/>
          <w:szCs w:val="22"/>
        </w:rPr>
        <w:t xml:space="preserve">M. Ochozias A. K. </w:t>
      </w:r>
      <w:proofErr w:type="spellStart"/>
      <w:r w:rsidRPr="00EA17A1">
        <w:rPr>
          <w:rFonts w:ascii="Palatino Linotype" w:hAnsi="Palatino Linotype"/>
          <w:color w:val="1F497D" w:themeColor="text2"/>
          <w:sz w:val="22"/>
          <w:szCs w:val="22"/>
        </w:rPr>
        <w:t>Gbaguidi</w:t>
      </w:r>
      <w:proofErr w:type="spellEnd"/>
    </w:p>
    <w:p w:rsidR="00493DBD" w:rsidRPr="00EA17A1" w:rsidRDefault="00493DBD" w:rsidP="009E4B29">
      <w:pPr>
        <w:autoSpaceDE w:val="0"/>
        <w:autoSpaceDN w:val="0"/>
        <w:adjustRightInd w:val="0"/>
        <w:jc w:val="both"/>
        <w:rPr>
          <w:rFonts w:ascii="Palatino Linotype" w:hAnsi="Palatino Linotype"/>
          <w:color w:val="1F497D" w:themeColor="text2"/>
          <w:sz w:val="22"/>
          <w:szCs w:val="22"/>
        </w:rPr>
      </w:pPr>
      <w:r w:rsidRPr="00EA17A1">
        <w:rPr>
          <w:rFonts w:ascii="Palatino Linotype" w:hAnsi="Palatino Linotype"/>
          <w:color w:val="1F497D" w:themeColor="text2"/>
          <w:sz w:val="22"/>
          <w:szCs w:val="22"/>
        </w:rPr>
        <w:t>Economiste</w:t>
      </w:r>
    </w:p>
    <w:p w:rsidR="00493DBD" w:rsidRPr="00EA17A1" w:rsidRDefault="00841787" w:rsidP="009E4B29">
      <w:pPr>
        <w:autoSpaceDE w:val="0"/>
        <w:autoSpaceDN w:val="0"/>
        <w:adjustRightInd w:val="0"/>
        <w:jc w:val="both"/>
        <w:rPr>
          <w:rFonts w:ascii="Palatino Linotype" w:hAnsi="Palatino Linotype"/>
          <w:color w:val="1F497D" w:themeColor="text2"/>
          <w:sz w:val="22"/>
          <w:szCs w:val="22"/>
        </w:rPr>
      </w:pPr>
      <w:bookmarkStart w:id="17" w:name="OLE_LINK7"/>
      <w:bookmarkStart w:id="18" w:name="OLE_LINK8"/>
      <w:r w:rsidRPr="00EA17A1">
        <w:rPr>
          <w:rFonts w:ascii="Palatino Linotype" w:hAnsi="Palatino Linotype"/>
          <w:color w:val="1F497D" w:themeColor="text2"/>
          <w:sz w:val="22"/>
          <w:szCs w:val="22"/>
        </w:rPr>
        <w:t>T</w:t>
      </w:r>
      <w:r w:rsidR="009E4B29" w:rsidRPr="00EA17A1">
        <w:rPr>
          <w:rFonts w:ascii="Palatino Linotype" w:hAnsi="Palatino Linotype"/>
          <w:color w:val="1F497D" w:themeColor="text2"/>
          <w:sz w:val="22"/>
          <w:szCs w:val="22"/>
        </w:rPr>
        <w:t>é</w:t>
      </w:r>
      <w:r w:rsidRPr="00EA17A1">
        <w:rPr>
          <w:rFonts w:ascii="Palatino Linotype" w:hAnsi="Palatino Linotype"/>
          <w:color w:val="1F497D" w:themeColor="text2"/>
          <w:sz w:val="22"/>
          <w:szCs w:val="22"/>
        </w:rPr>
        <w:t>l : +212</w:t>
      </w:r>
      <w:r w:rsidR="009E4B29" w:rsidRPr="00EA17A1">
        <w:rPr>
          <w:rFonts w:ascii="Palatino Linotype" w:hAnsi="Palatino Linotype"/>
          <w:color w:val="1F497D" w:themeColor="text2"/>
          <w:sz w:val="22"/>
          <w:szCs w:val="22"/>
        </w:rPr>
        <w:t> </w:t>
      </w:r>
      <w:r w:rsidRPr="00EA17A1">
        <w:rPr>
          <w:rFonts w:ascii="Palatino Linotype" w:hAnsi="Palatino Linotype"/>
          <w:color w:val="1F497D" w:themeColor="text2"/>
          <w:sz w:val="22"/>
          <w:szCs w:val="22"/>
        </w:rPr>
        <w:t>537</w:t>
      </w:r>
      <w:r w:rsidR="009E4B29" w:rsidRPr="00EA17A1">
        <w:rPr>
          <w:rFonts w:ascii="Palatino Linotype" w:hAnsi="Palatino Linotype"/>
          <w:color w:val="1F497D" w:themeColor="text2"/>
          <w:sz w:val="22"/>
          <w:szCs w:val="22"/>
        </w:rPr>
        <w:t> </w:t>
      </w:r>
      <w:r w:rsidRPr="00EA17A1">
        <w:rPr>
          <w:rFonts w:ascii="Palatino Linotype" w:hAnsi="Palatino Linotype"/>
          <w:color w:val="1F497D" w:themeColor="text2"/>
          <w:sz w:val="22"/>
          <w:szCs w:val="22"/>
        </w:rPr>
        <w:t>715</w:t>
      </w:r>
      <w:r w:rsidR="009E4B29" w:rsidRPr="00EA17A1">
        <w:rPr>
          <w:rFonts w:ascii="Palatino Linotype" w:hAnsi="Palatino Linotype"/>
          <w:color w:val="1F497D" w:themeColor="text2"/>
          <w:sz w:val="22"/>
          <w:szCs w:val="22"/>
        </w:rPr>
        <w:t xml:space="preserve"> </w:t>
      </w:r>
      <w:r w:rsidRPr="00EA17A1">
        <w:rPr>
          <w:rFonts w:ascii="Palatino Linotype" w:hAnsi="Palatino Linotype"/>
          <w:color w:val="1F497D" w:themeColor="text2"/>
          <w:sz w:val="22"/>
          <w:szCs w:val="22"/>
        </w:rPr>
        <w:t>6</w:t>
      </w:r>
      <w:r w:rsidR="00493DBD" w:rsidRPr="00EA17A1">
        <w:rPr>
          <w:rFonts w:ascii="Palatino Linotype" w:hAnsi="Palatino Linotype"/>
          <w:color w:val="1F497D" w:themeColor="text2"/>
          <w:sz w:val="22"/>
          <w:szCs w:val="22"/>
        </w:rPr>
        <w:t xml:space="preserve">13  ou  </w:t>
      </w:r>
      <w:r w:rsidRPr="00EA17A1">
        <w:rPr>
          <w:rFonts w:ascii="Palatino Linotype" w:hAnsi="Palatino Linotype"/>
          <w:color w:val="1F497D" w:themeColor="text2"/>
          <w:sz w:val="22"/>
          <w:szCs w:val="22"/>
        </w:rPr>
        <w:t>+</w:t>
      </w:r>
      <w:r w:rsidR="00493DBD" w:rsidRPr="00EA17A1">
        <w:rPr>
          <w:rFonts w:ascii="Palatino Linotype" w:hAnsi="Palatino Linotype"/>
          <w:color w:val="1F497D" w:themeColor="text2"/>
          <w:sz w:val="22"/>
          <w:szCs w:val="22"/>
        </w:rPr>
        <w:t>2</w:t>
      </w:r>
      <w:r w:rsidRPr="00EA17A1">
        <w:rPr>
          <w:rFonts w:ascii="Palatino Linotype" w:hAnsi="Palatino Linotype"/>
          <w:color w:val="1F497D" w:themeColor="text2"/>
          <w:sz w:val="22"/>
          <w:szCs w:val="22"/>
        </w:rPr>
        <w:t>12</w:t>
      </w:r>
      <w:r w:rsidR="009E4B29" w:rsidRPr="00EA17A1">
        <w:rPr>
          <w:rFonts w:ascii="Palatino Linotype" w:hAnsi="Palatino Linotype"/>
          <w:color w:val="1F497D" w:themeColor="text2"/>
          <w:sz w:val="22"/>
          <w:szCs w:val="22"/>
        </w:rPr>
        <w:t> </w:t>
      </w:r>
      <w:r w:rsidRPr="00EA17A1">
        <w:rPr>
          <w:rFonts w:ascii="Palatino Linotype" w:hAnsi="Palatino Linotype"/>
          <w:color w:val="1F497D" w:themeColor="text2"/>
          <w:sz w:val="22"/>
          <w:szCs w:val="22"/>
        </w:rPr>
        <w:t>537</w:t>
      </w:r>
      <w:r w:rsidR="009E4B29" w:rsidRPr="00EA17A1">
        <w:rPr>
          <w:rFonts w:ascii="Palatino Linotype" w:hAnsi="Palatino Linotype"/>
          <w:color w:val="1F497D" w:themeColor="text2"/>
          <w:sz w:val="22"/>
          <w:szCs w:val="22"/>
        </w:rPr>
        <w:t> </w:t>
      </w:r>
      <w:r w:rsidRPr="00EA17A1">
        <w:rPr>
          <w:rFonts w:ascii="Palatino Linotype" w:hAnsi="Palatino Linotype"/>
          <w:color w:val="1F497D" w:themeColor="text2"/>
          <w:sz w:val="22"/>
          <w:szCs w:val="22"/>
        </w:rPr>
        <w:t>717</w:t>
      </w:r>
      <w:r w:rsidR="009E4B29" w:rsidRPr="00EA17A1">
        <w:rPr>
          <w:rFonts w:ascii="Palatino Linotype" w:hAnsi="Palatino Linotype"/>
          <w:color w:val="1F497D" w:themeColor="text2"/>
          <w:sz w:val="22"/>
          <w:szCs w:val="22"/>
        </w:rPr>
        <w:t xml:space="preserve"> </w:t>
      </w:r>
      <w:r w:rsidRPr="00EA17A1">
        <w:rPr>
          <w:rFonts w:ascii="Palatino Linotype" w:hAnsi="Palatino Linotype"/>
          <w:color w:val="1F497D" w:themeColor="text2"/>
          <w:sz w:val="22"/>
          <w:szCs w:val="22"/>
        </w:rPr>
        <w:t>8</w:t>
      </w:r>
      <w:r w:rsidR="00493DBD" w:rsidRPr="00EA17A1">
        <w:rPr>
          <w:rFonts w:ascii="Palatino Linotype" w:hAnsi="Palatino Linotype"/>
          <w:color w:val="1F497D" w:themeColor="text2"/>
          <w:sz w:val="22"/>
          <w:szCs w:val="22"/>
        </w:rPr>
        <w:t>29</w:t>
      </w:r>
    </w:p>
    <w:bookmarkEnd w:id="17"/>
    <w:bookmarkEnd w:id="18"/>
    <w:p w:rsidR="0005325C" w:rsidRPr="00EA17A1" w:rsidRDefault="00493DBD" w:rsidP="009E4B29">
      <w:pPr>
        <w:autoSpaceDE w:val="0"/>
        <w:autoSpaceDN w:val="0"/>
        <w:adjustRightInd w:val="0"/>
        <w:jc w:val="both"/>
        <w:rPr>
          <w:rFonts w:ascii="Palatino Linotype" w:hAnsi="Palatino Linotype"/>
          <w:color w:val="1F497D" w:themeColor="text2"/>
          <w:sz w:val="22"/>
          <w:szCs w:val="22"/>
        </w:rPr>
      </w:pPr>
      <w:r w:rsidRPr="00EA17A1">
        <w:rPr>
          <w:rFonts w:ascii="Palatino Linotype" w:hAnsi="Palatino Linotype"/>
          <w:color w:val="1F497D" w:themeColor="text2"/>
          <w:sz w:val="22"/>
          <w:szCs w:val="22"/>
        </w:rPr>
        <w:t xml:space="preserve">gochozias@uneca.org </w:t>
      </w:r>
    </w:p>
    <w:p w:rsidR="00705BE3" w:rsidRPr="00EA17A1" w:rsidRDefault="00705BE3" w:rsidP="009E4B29">
      <w:pPr>
        <w:autoSpaceDE w:val="0"/>
        <w:autoSpaceDN w:val="0"/>
        <w:adjustRightInd w:val="0"/>
        <w:jc w:val="both"/>
        <w:rPr>
          <w:rFonts w:ascii="Palatino Linotype" w:hAnsi="Palatino Linotype"/>
          <w:color w:val="1F497D" w:themeColor="text2"/>
          <w:sz w:val="22"/>
          <w:szCs w:val="22"/>
        </w:rPr>
        <w:sectPr w:rsidR="00705BE3" w:rsidRPr="00EA17A1" w:rsidSect="00843173">
          <w:type w:val="continuous"/>
          <w:pgSz w:w="11906" w:h="16838"/>
          <w:pgMar w:top="1134" w:right="1134" w:bottom="284" w:left="1134" w:header="284" w:footer="541" w:gutter="0"/>
          <w:cols w:space="708"/>
          <w:titlePg/>
          <w:docGrid w:linePitch="360"/>
        </w:sectPr>
      </w:pPr>
    </w:p>
    <w:p w:rsidR="00933696" w:rsidRDefault="00933696" w:rsidP="009E4B29">
      <w:pPr>
        <w:autoSpaceDE w:val="0"/>
        <w:autoSpaceDN w:val="0"/>
        <w:adjustRightInd w:val="0"/>
        <w:jc w:val="both"/>
        <w:rPr>
          <w:rFonts w:ascii="Palatino Linotype" w:hAnsi="Palatino Linotype"/>
          <w:color w:val="006699"/>
          <w:sz w:val="22"/>
          <w:szCs w:val="22"/>
        </w:rPr>
      </w:pPr>
    </w:p>
    <w:p w:rsidR="00843173" w:rsidRDefault="00843173" w:rsidP="004E3A9E">
      <w:pPr>
        <w:autoSpaceDE w:val="0"/>
        <w:autoSpaceDN w:val="0"/>
        <w:adjustRightInd w:val="0"/>
        <w:spacing w:after="120"/>
        <w:ind w:left="744" w:right="459"/>
        <w:jc w:val="center"/>
        <w:rPr>
          <w:color w:val="943634"/>
        </w:rPr>
        <w:sectPr w:rsidR="00843173" w:rsidSect="00843173">
          <w:type w:val="continuous"/>
          <w:pgSz w:w="11906" w:h="16838"/>
          <w:pgMar w:top="1134" w:right="1134" w:bottom="284" w:left="1134" w:header="284" w:footer="541" w:gutter="0"/>
          <w:cols w:space="708"/>
          <w:titlePg/>
          <w:docGrid w:linePitch="360"/>
        </w:sectPr>
      </w:pPr>
    </w:p>
    <w:p w:rsidR="00A06803" w:rsidRDefault="00A06803" w:rsidP="004E3A9E">
      <w:pPr>
        <w:autoSpaceDE w:val="0"/>
        <w:autoSpaceDN w:val="0"/>
        <w:adjustRightInd w:val="0"/>
        <w:spacing w:after="120"/>
        <w:ind w:left="744" w:right="459"/>
        <w:jc w:val="center"/>
        <w:rPr>
          <w:color w:val="943634"/>
        </w:rPr>
        <w:sectPr w:rsidR="00A06803" w:rsidSect="00373489">
          <w:type w:val="continuous"/>
          <w:pgSz w:w="11906" w:h="16838"/>
          <w:pgMar w:top="1134" w:right="1134" w:bottom="284" w:left="1134" w:header="284" w:footer="818" w:gutter="0"/>
          <w:cols w:space="708"/>
          <w:titlePg/>
          <w:docGrid w:linePitch="360"/>
        </w:sectPr>
      </w:pPr>
    </w:p>
    <w:p w:rsidR="004E3A9E" w:rsidRDefault="004E3A9E" w:rsidP="004E3A9E">
      <w:pPr>
        <w:autoSpaceDE w:val="0"/>
        <w:autoSpaceDN w:val="0"/>
        <w:adjustRightInd w:val="0"/>
        <w:spacing w:after="120"/>
        <w:ind w:left="744" w:right="459"/>
        <w:jc w:val="center"/>
        <w:rPr>
          <w:color w:val="943634"/>
        </w:rPr>
      </w:pPr>
    </w:p>
    <w:p w:rsidR="00A06803" w:rsidRDefault="00A06803" w:rsidP="004E3A9E">
      <w:pPr>
        <w:autoSpaceDE w:val="0"/>
        <w:autoSpaceDN w:val="0"/>
        <w:adjustRightInd w:val="0"/>
        <w:spacing w:after="120"/>
        <w:ind w:left="744" w:right="459"/>
        <w:jc w:val="center"/>
        <w:rPr>
          <w:color w:val="943634"/>
        </w:rPr>
      </w:pPr>
    </w:p>
    <w:p w:rsidR="00A06803" w:rsidRDefault="00A06803" w:rsidP="004E3A9E">
      <w:pPr>
        <w:autoSpaceDE w:val="0"/>
        <w:autoSpaceDN w:val="0"/>
        <w:adjustRightInd w:val="0"/>
        <w:spacing w:after="120"/>
        <w:ind w:left="744" w:right="459"/>
        <w:jc w:val="center"/>
        <w:rPr>
          <w:color w:val="943634"/>
        </w:rPr>
      </w:pPr>
    </w:p>
    <w:p w:rsidR="00A06803" w:rsidRDefault="00A06803" w:rsidP="004E3A9E">
      <w:pPr>
        <w:autoSpaceDE w:val="0"/>
        <w:autoSpaceDN w:val="0"/>
        <w:adjustRightInd w:val="0"/>
        <w:spacing w:after="120"/>
        <w:ind w:left="744" w:right="459"/>
        <w:jc w:val="center"/>
        <w:rPr>
          <w:color w:val="943634"/>
        </w:rPr>
      </w:pPr>
    </w:p>
    <w:p w:rsidR="00A06803" w:rsidRDefault="00A06803" w:rsidP="004E3A9E">
      <w:pPr>
        <w:autoSpaceDE w:val="0"/>
        <w:autoSpaceDN w:val="0"/>
        <w:adjustRightInd w:val="0"/>
        <w:spacing w:after="120"/>
        <w:ind w:left="744" w:right="459"/>
        <w:jc w:val="center"/>
        <w:rPr>
          <w:color w:val="943634"/>
        </w:rPr>
      </w:pPr>
    </w:p>
    <w:p w:rsidR="00A06803" w:rsidRDefault="00A06803" w:rsidP="004E3A9E">
      <w:pPr>
        <w:autoSpaceDE w:val="0"/>
        <w:autoSpaceDN w:val="0"/>
        <w:adjustRightInd w:val="0"/>
        <w:spacing w:after="120"/>
        <w:ind w:left="744" w:right="459"/>
        <w:jc w:val="center"/>
        <w:rPr>
          <w:color w:val="943634"/>
        </w:rPr>
      </w:pPr>
    </w:p>
    <w:p w:rsidR="00A06803" w:rsidRDefault="00A06803" w:rsidP="004E3A9E">
      <w:pPr>
        <w:autoSpaceDE w:val="0"/>
        <w:autoSpaceDN w:val="0"/>
        <w:adjustRightInd w:val="0"/>
        <w:spacing w:after="120"/>
        <w:ind w:left="744" w:right="459"/>
        <w:jc w:val="center"/>
        <w:rPr>
          <w:color w:val="943634"/>
        </w:rPr>
      </w:pPr>
    </w:p>
    <w:p w:rsidR="00A06803" w:rsidRDefault="00A06803" w:rsidP="004E3A9E">
      <w:pPr>
        <w:autoSpaceDE w:val="0"/>
        <w:autoSpaceDN w:val="0"/>
        <w:adjustRightInd w:val="0"/>
        <w:spacing w:after="120"/>
        <w:ind w:left="744" w:right="459"/>
        <w:jc w:val="center"/>
        <w:rPr>
          <w:color w:val="943634"/>
        </w:rPr>
      </w:pPr>
    </w:p>
    <w:p w:rsidR="00A06803" w:rsidRDefault="00A06803" w:rsidP="004E3A9E">
      <w:pPr>
        <w:autoSpaceDE w:val="0"/>
        <w:autoSpaceDN w:val="0"/>
        <w:adjustRightInd w:val="0"/>
        <w:spacing w:after="120"/>
        <w:ind w:left="744" w:right="459"/>
        <w:jc w:val="center"/>
        <w:rPr>
          <w:color w:val="943634"/>
        </w:rPr>
      </w:pPr>
    </w:p>
    <w:p w:rsidR="00A06803" w:rsidRDefault="00A06803" w:rsidP="004E3A9E">
      <w:pPr>
        <w:autoSpaceDE w:val="0"/>
        <w:autoSpaceDN w:val="0"/>
        <w:adjustRightInd w:val="0"/>
        <w:spacing w:after="120"/>
        <w:ind w:left="744" w:right="459"/>
        <w:jc w:val="center"/>
        <w:rPr>
          <w:color w:val="943634"/>
        </w:rPr>
      </w:pPr>
    </w:p>
    <w:p w:rsidR="00A06803" w:rsidRDefault="00A06803" w:rsidP="004E3A9E">
      <w:pPr>
        <w:autoSpaceDE w:val="0"/>
        <w:autoSpaceDN w:val="0"/>
        <w:adjustRightInd w:val="0"/>
        <w:spacing w:after="120"/>
        <w:ind w:left="744" w:right="459"/>
        <w:jc w:val="center"/>
        <w:rPr>
          <w:color w:val="943634"/>
        </w:rPr>
      </w:pPr>
    </w:p>
    <w:p w:rsidR="00A06803" w:rsidRDefault="00A06803" w:rsidP="00982E56">
      <w:pPr>
        <w:autoSpaceDE w:val="0"/>
        <w:autoSpaceDN w:val="0"/>
        <w:adjustRightInd w:val="0"/>
        <w:spacing w:after="120"/>
        <w:ind w:right="-1"/>
        <w:jc w:val="center"/>
        <w:rPr>
          <w:rFonts w:ascii="ITC Avant Garde Gothic Demi" w:eastAsia="Calibri" w:hAnsi="ITC Avant Garde Gothic Demi"/>
          <w:b/>
          <w:color w:val="365F91"/>
          <w:sz w:val="20"/>
          <w:szCs w:val="20"/>
        </w:rPr>
      </w:pPr>
      <w:bookmarkStart w:id="19" w:name="OLE_LINK13"/>
    </w:p>
    <w:p w:rsidR="000341EB" w:rsidRDefault="00000FDB" w:rsidP="00982E56">
      <w:pPr>
        <w:autoSpaceDE w:val="0"/>
        <w:autoSpaceDN w:val="0"/>
        <w:adjustRightInd w:val="0"/>
        <w:spacing w:after="120"/>
        <w:ind w:right="-1"/>
        <w:jc w:val="center"/>
        <w:rPr>
          <w:rFonts w:ascii="ITC Avant Garde Gothic Demi" w:eastAsia="Calibri" w:hAnsi="ITC Avant Garde Gothic Demi"/>
          <w:b/>
          <w:color w:val="365F91"/>
          <w:sz w:val="20"/>
          <w:szCs w:val="20"/>
        </w:rPr>
      </w:pPr>
      <w:r>
        <w:rPr>
          <w:rFonts w:ascii="ITC Avant Garde Gothic Demi" w:hAnsi="ITC Avant Garde Gothic Demi"/>
          <w:b/>
          <w:noProof/>
          <w:color w:val="365F91"/>
          <w:sz w:val="20"/>
          <w:szCs w:val="20"/>
          <w:lang w:val="en-US" w:eastAsia="en-US"/>
        </w:rPr>
        <w:drawing>
          <wp:inline distT="0" distB="0" distL="0" distR="0">
            <wp:extent cx="1017905" cy="836930"/>
            <wp:effectExtent l="19050" t="0" r="0" b="0"/>
            <wp:docPr id="2" name="Image 2" descr="Logo 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NU"/>
                    <pic:cNvPicPr>
                      <a:picLocks noChangeAspect="1" noChangeArrowheads="1"/>
                    </pic:cNvPicPr>
                  </pic:nvPicPr>
                  <pic:blipFill>
                    <a:blip r:embed="rId13" cstate="print"/>
                    <a:srcRect/>
                    <a:stretch>
                      <a:fillRect/>
                    </a:stretch>
                  </pic:blipFill>
                  <pic:spPr bwMode="auto">
                    <a:xfrm>
                      <a:off x="0" y="0"/>
                      <a:ext cx="1017905" cy="836930"/>
                    </a:xfrm>
                    <a:prstGeom prst="rect">
                      <a:avLst/>
                    </a:prstGeom>
                    <a:noFill/>
                    <a:ln w="9525">
                      <a:noFill/>
                      <a:miter lim="800000"/>
                      <a:headEnd/>
                      <a:tailEnd/>
                    </a:ln>
                  </pic:spPr>
                </pic:pic>
              </a:graphicData>
            </a:graphic>
          </wp:inline>
        </w:drawing>
      </w:r>
      <w:bookmarkEnd w:id="19"/>
    </w:p>
    <w:p w:rsidR="000341EB" w:rsidRPr="004B3232" w:rsidRDefault="004B3232" w:rsidP="00982E56">
      <w:pPr>
        <w:tabs>
          <w:tab w:val="left" w:pos="5138"/>
        </w:tabs>
        <w:ind w:right="-1"/>
        <w:jc w:val="center"/>
        <w:rPr>
          <w:rFonts w:asciiTheme="majorHAnsi" w:hAnsiTheme="majorHAnsi"/>
          <w:b/>
          <w:color w:val="365F91"/>
          <w:sz w:val="20"/>
          <w:szCs w:val="20"/>
        </w:rPr>
      </w:pPr>
      <w:r>
        <w:rPr>
          <w:rFonts w:asciiTheme="majorHAnsi" w:hAnsiTheme="majorHAnsi"/>
          <w:b/>
          <w:color w:val="365F91"/>
          <w:sz w:val="20"/>
          <w:szCs w:val="20"/>
        </w:rPr>
        <w:t>Nations Unies</w:t>
      </w:r>
    </w:p>
    <w:p w:rsidR="000341EB" w:rsidRPr="004B3232" w:rsidRDefault="000341EB" w:rsidP="00982E56">
      <w:pPr>
        <w:tabs>
          <w:tab w:val="left" w:pos="5138"/>
        </w:tabs>
        <w:ind w:right="-1"/>
        <w:jc w:val="center"/>
        <w:rPr>
          <w:rFonts w:asciiTheme="majorHAnsi" w:hAnsiTheme="majorHAnsi"/>
          <w:b/>
          <w:color w:val="365F91"/>
          <w:sz w:val="20"/>
          <w:szCs w:val="20"/>
        </w:rPr>
      </w:pPr>
      <w:r w:rsidRPr="004B3232">
        <w:rPr>
          <w:rFonts w:asciiTheme="majorHAnsi" w:hAnsiTheme="majorHAnsi"/>
          <w:b/>
          <w:color w:val="365F91"/>
          <w:sz w:val="20"/>
          <w:szCs w:val="20"/>
        </w:rPr>
        <w:t>Commission économique pour l’Afrique</w:t>
      </w:r>
    </w:p>
    <w:p w:rsidR="004E3A9E" w:rsidRPr="004B3232" w:rsidRDefault="000341EB" w:rsidP="00982E56">
      <w:pPr>
        <w:ind w:right="-1"/>
        <w:jc w:val="center"/>
        <w:rPr>
          <w:rFonts w:asciiTheme="majorHAnsi" w:hAnsiTheme="majorHAnsi"/>
          <w:b/>
          <w:color w:val="365F91"/>
          <w:sz w:val="20"/>
          <w:szCs w:val="20"/>
        </w:rPr>
      </w:pPr>
      <w:r w:rsidRPr="004B3232">
        <w:rPr>
          <w:rFonts w:asciiTheme="majorHAnsi" w:hAnsiTheme="majorHAnsi"/>
          <w:b/>
          <w:color w:val="365F91"/>
          <w:sz w:val="20"/>
          <w:szCs w:val="20"/>
        </w:rPr>
        <w:t>Bureau pour l’Afrique du Nord</w:t>
      </w:r>
    </w:p>
    <w:p w:rsidR="000341EB" w:rsidRDefault="000341EB" w:rsidP="00982E56">
      <w:pPr>
        <w:ind w:right="-1"/>
        <w:jc w:val="center"/>
        <w:rPr>
          <w:rFonts w:ascii="ITC Avant Garde Gothic Demi" w:hAnsi="ITC Avant Garde Gothic Demi"/>
          <w:b/>
          <w:color w:val="365F91"/>
          <w:sz w:val="20"/>
          <w:szCs w:val="20"/>
        </w:rPr>
      </w:pPr>
    </w:p>
    <w:p w:rsidR="000341EB" w:rsidRPr="000341EB" w:rsidRDefault="000341EB" w:rsidP="00982E56">
      <w:pPr>
        <w:spacing w:after="120"/>
        <w:ind w:right="-1"/>
        <w:jc w:val="center"/>
        <w:rPr>
          <w:rFonts w:ascii="Palatino Linotype" w:hAnsi="Palatino Linotype"/>
          <w:color w:val="006699"/>
          <w:sz w:val="22"/>
          <w:szCs w:val="22"/>
        </w:rPr>
      </w:pPr>
      <w:r w:rsidRPr="000341EB">
        <w:rPr>
          <w:rFonts w:ascii="Palatino Linotype" w:hAnsi="Palatino Linotype"/>
          <w:color w:val="006699"/>
          <w:sz w:val="22"/>
          <w:szCs w:val="22"/>
        </w:rPr>
        <w:t>B.P. 2062 Rabat Ryad, Rabat, Maroc</w:t>
      </w:r>
    </w:p>
    <w:p w:rsidR="000341EB" w:rsidRDefault="000341EB" w:rsidP="00982E56">
      <w:pPr>
        <w:autoSpaceDE w:val="0"/>
        <w:autoSpaceDN w:val="0"/>
        <w:adjustRightInd w:val="0"/>
        <w:ind w:right="-1"/>
        <w:jc w:val="center"/>
        <w:rPr>
          <w:rFonts w:ascii="Palatino Linotype" w:hAnsi="Palatino Linotype"/>
          <w:color w:val="006699"/>
          <w:sz w:val="22"/>
          <w:szCs w:val="22"/>
        </w:rPr>
      </w:pPr>
      <w:r>
        <w:rPr>
          <w:rFonts w:ascii="Palatino Linotype" w:hAnsi="Palatino Linotype"/>
          <w:color w:val="006699"/>
          <w:sz w:val="22"/>
          <w:szCs w:val="22"/>
        </w:rPr>
        <w:t>Tél : +212 537 715 613  ou  +212 537 717 829</w:t>
      </w:r>
    </w:p>
    <w:p w:rsidR="000341EB" w:rsidRDefault="000341EB" w:rsidP="00982E56">
      <w:pPr>
        <w:autoSpaceDE w:val="0"/>
        <w:autoSpaceDN w:val="0"/>
        <w:adjustRightInd w:val="0"/>
        <w:spacing w:after="120"/>
        <w:ind w:right="-1"/>
        <w:jc w:val="center"/>
        <w:rPr>
          <w:rFonts w:ascii="Palatino Linotype" w:hAnsi="Palatino Linotype"/>
          <w:color w:val="006699"/>
          <w:sz w:val="22"/>
          <w:szCs w:val="22"/>
        </w:rPr>
      </w:pPr>
      <w:r>
        <w:rPr>
          <w:rFonts w:ascii="Palatino Linotype" w:hAnsi="Palatino Linotype"/>
          <w:color w:val="006699"/>
          <w:sz w:val="22"/>
          <w:szCs w:val="22"/>
        </w:rPr>
        <w:t>Fax : +212 537 712 702</w:t>
      </w:r>
    </w:p>
    <w:p w:rsidR="000341EB" w:rsidRDefault="000341EB" w:rsidP="00982E56">
      <w:pPr>
        <w:autoSpaceDE w:val="0"/>
        <w:autoSpaceDN w:val="0"/>
        <w:adjustRightInd w:val="0"/>
        <w:spacing w:after="120"/>
        <w:ind w:right="-1"/>
        <w:jc w:val="center"/>
        <w:rPr>
          <w:rFonts w:ascii="Palatino Linotype" w:hAnsi="Palatino Linotype"/>
          <w:color w:val="006699"/>
          <w:sz w:val="22"/>
          <w:szCs w:val="22"/>
        </w:rPr>
      </w:pPr>
      <w:r>
        <w:rPr>
          <w:rFonts w:ascii="Palatino Linotype" w:hAnsi="Palatino Linotype"/>
          <w:color w:val="006699"/>
          <w:sz w:val="22"/>
          <w:szCs w:val="22"/>
        </w:rPr>
        <w:t>E-mail : srdc-na@uneca.org</w:t>
      </w:r>
    </w:p>
    <w:p w:rsidR="000341EB" w:rsidRPr="000341EB" w:rsidRDefault="000341EB" w:rsidP="00982E56">
      <w:pPr>
        <w:autoSpaceDE w:val="0"/>
        <w:autoSpaceDN w:val="0"/>
        <w:adjustRightInd w:val="0"/>
        <w:ind w:right="-1"/>
        <w:jc w:val="center"/>
        <w:rPr>
          <w:rFonts w:ascii="Palatino Linotype" w:hAnsi="Palatino Linotype"/>
          <w:color w:val="006699"/>
          <w:sz w:val="22"/>
          <w:szCs w:val="22"/>
        </w:rPr>
      </w:pPr>
      <w:r w:rsidRPr="000341EB">
        <w:rPr>
          <w:rFonts w:ascii="Palatino Linotype" w:hAnsi="Palatino Linotype"/>
          <w:color w:val="006699"/>
          <w:sz w:val="22"/>
          <w:szCs w:val="22"/>
        </w:rPr>
        <w:t>www.uneca-an.org</w:t>
      </w:r>
      <w:r>
        <w:rPr>
          <w:rFonts w:ascii="Palatino Linotype" w:hAnsi="Palatino Linotype"/>
          <w:color w:val="006699"/>
          <w:sz w:val="22"/>
          <w:szCs w:val="22"/>
        </w:rPr>
        <w:t xml:space="preserve"> / </w:t>
      </w:r>
      <w:r w:rsidRPr="000341EB">
        <w:rPr>
          <w:rFonts w:ascii="Palatino Linotype" w:hAnsi="Palatino Linotype"/>
          <w:color w:val="006699"/>
          <w:sz w:val="22"/>
          <w:szCs w:val="22"/>
        </w:rPr>
        <w:t>www.uneca.org</w:t>
      </w:r>
    </w:p>
    <w:p w:rsidR="000341EB" w:rsidRPr="00493DBD" w:rsidRDefault="00847903" w:rsidP="000341EB">
      <w:pPr>
        <w:ind w:right="-1"/>
        <w:jc w:val="center"/>
        <w:rPr>
          <w:color w:val="943634"/>
        </w:rPr>
      </w:pPr>
      <w:r>
        <w:rPr>
          <w:noProof/>
          <w:color w:val="943634"/>
          <w:lang w:val="en-US" w:eastAsia="en-US"/>
        </w:rPr>
        <w:pict>
          <v:shapetype id="_x0000_t202" coordsize="21600,21600" o:spt="202" path="m,l,21600r21600,l21600,xe">
            <v:stroke joinstyle="miter"/>
            <v:path gradientshapeok="t" o:connecttype="rect"/>
          </v:shapetype>
          <v:shape id="_x0000_s1026" type="#_x0000_t202" style="position:absolute;left:0;text-align:left;margin-left:236.65pt;margin-top:294.6pt;width:13.95pt;height:15.05pt;z-index:251658240" strokecolor="white [3212]">
            <v:textbox>
              <w:txbxContent>
                <w:p w:rsidR="00586AB5" w:rsidRDefault="00586AB5"/>
              </w:txbxContent>
            </v:textbox>
          </v:shape>
        </w:pict>
      </w:r>
    </w:p>
    <w:sectPr w:rsidR="000341EB" w:rsidRPr="00493DBD" w:rsidSect="00A06803">
      <w:pgSz w:w="11906" w:h="16838"/>
      <w:pgMar w:top="1134" w:right="1134" w:bottom="284" w:left="1134" w:header="284" w:footer="81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48B" w:rsidRDefault="0016348B">
      <w:r>
        <w:separator/>
      </w:r>
    </w:p>
  </w:endnote>
  <w:endnote w:type="continuationSeparator" w:id="0">
    <w:p w:rsidR="0016348B" w:rsidRDefault="001634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ITC Avant Garde Gothic Demi">
    <w:panose1 w:val="020B0802020202020204"/>
    <w:charset w:val="00"/>
    <w:family w:val="swiss"/>
    <w:pitch w:val="variable"/>
    <w:sig w:usb0="00000007" w:usb1="00000000" w:usb2="00000000" w:usb3="00000000" w:csb0="00000093" w:csb1="00000000"/>
  </w:font>
  <w:font w:name="Palatino Linotype">
    <w:panose1 w:val="02040502050505030304"/>
    <w:charset w:val="00"/>
    <w:family w:val="roman"/>
    <w:pitch w:val="variable"/>
    <w:sig w:usb0="E00003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183" w:rsidRDefault="00A15B50">
    <w:r>
      <w:cr/>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43479"/>
      <w:docPartObj>
        <w:docPartGallery w:val="Page Numbers (Bottom of Page)"/>
        <w:docPartUnique/>
      </w:docPartObj>
    </w:sdtPr>
    <w:sdtContent>
      <w:p w:rsidR="00A06803" w:rsidRDefault="00847903">
        <w:pPr>
          <w:pStyle w:val="Pieddepage"/>
        </w:pPr>
        <w:r w:rsidRPr="00847903">
          <w:rPr>
            <w:noProof/>
            <w:lang w:eastAsia="zh-TW"/>
          </w:rPr>
          <w:pict>
            <v:roundrect id="_x0000_s2069" style="position:absolute;margin-left:0;margin-top:0;width:47.15pt;height:22.6pt;z-index:251662336;mso-width-percent:100;mso-position-horizontal:center;mso-position-horizontal-relative:margin;mso-position-vertical:center;mso-position-vertical-relative:bottom-margin-area;mso-width-percent:100;mso-width-relative:margin;mso-height-relative:bottom-margin-area" arcsize="10923f" fillcolor="white [3212]" strokecolor="#c60">
              <v:textbox inset=",0,,0">
                <w:txbxContent>
                  <w:p w:rsidR="00A06803" w:rsidRPr="005B010D" w:rsidRDefault="00847903">
                    <w:pPr>
                      <w:jc w:val="center"/>
                      <w:rPr>
                        <w:color w:val="CC6600"/>
                        <w:sz w:val="36"/>
                        <w:szCs w:val="36"/>
                      </w:rPr>
                    </w:pPr>
                    <w:r w:rsidRPr="005B010D">
                      <w:rPr>
                        <w:color w:val="CC6600"/>
                        <w:sz w:val="36"/>
                        <w:szCs w:val="36"/>
                      </w:rPr>
                      <w:fldChar w:fldCharType="begin"/>
                    </w:r>
                    <w:r w:rsidR="00A06803" w:rsidRPr="005B010D">
                      <w:rPr>
                        <w:color w:val="CC6600"/>
                        <w:sz w:val="36"/>
                        <w:szCs w:val="36"/>
                      </w:rPr>
                      <w:instrText xml:space="preserve"> PAGE    \* MERGEFORMAT </w:instrText>
                    </w:r>
                    <w:r w:rsidRPr="005B010D">
                      <w:rPr>
                        <w:color w:val="CC6600"/>
                        <w:sz w:val="36"/>
                        <w:szCs w:val="36"/>
                      </w:rPr>
                      <w:fldChar w:fldCharType="separate"/>
                    </w:r>
                    <w:r w:rsidR="000B6125">
                      <w:rPr>
                        <w:noProof/>
                        <w:color w:val="CC6600"/>
                        <w:sz w:val="36"/>
                        <w:szCs w:val="36"/>
                      </w:rPr>
                      <w:t>7</w:t>
                    </w:r>
                    <w:r w:rsidRPr="005B010D">
                      <w:rPr>
                        <w:color w:val="CC6600"/>
                        <w:sz w:val="36"/>
                        <w:szCs w:val="36"/>
                      </w:rPr>
                      <w:fldChar w:fldCharType="end"/>
                    </w:r>
                  </w:p>
                </w:txbxContent>
              </v:textbox>
              <w10:wrap anchorx="margin" anchory="page"/>
            </v:roundrect>
          </w:pict>
        </w:r>
        <w:r w:rsidRPr="00847903">
          <w:rPr>
            <w:noProof/>
            <w:color w:val="CC6600"/>
            <w:lang w:eastAsia="zh-TW"/>
          </w:rPr>
          <w:pict>
            <v:shapetype id="_x0000_t32" coordsize="21600,21600" o:spt="32" o:oned="t" path="m,l21600,21600e" filled="f">
              <v:path arrowok="t" fillok="f" o:connecttype="none"/>
              <o:lock v:ext="edit" shapetype="t"/>
            </v:shapetype>
            <v:shape id="_x0000_s2068" type="#_x0000_t32" style="position:absolute;margin-left:-1.25pt;margin-top:24.75pt;width:484.45pt;height:.05pt;z-index:251661312;mso-position-horizontal-relative:margin;mso-position-vertical-relative:bottom-margin-area;mso-height-relative:bottom-margin-area;v-text-anchor:middle" o:connectortype="straight" strokecolor="#c60" strokeweight="1pt">
              <w10:wrap anchorx="margin" anchory="page"/>
            </v:shape>
          </w:pic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BE3" w:rsidRDefault="00FC1BE3">
    <w:pPr>
      <w:pStyle w:val="Pieddepage"/>
      <w:jc w:val="center"/>
    </w:pPr>
  </w:p>
  <w:p w:rsidR="00FC1BE3" w:rsidRPr="0039009C" w:rsidRDefault="00FC1BE3" w:rsidP="0039009C">
    <w:pPr>
      <w:pStyle w:val="En-tte"/>
      <w:tabs>
        <w:tab w:val="clear" w:pos="4536"/>
        <w:tab w:val="clear" w:pos="9072"/>
        <w:tab w:val="center" w:pos="9114"/>
      </w:tabs>
      <w:rPr>
        <w:rFonts w:ascii="Cambria" w:hAnsi="Cambria"/>
        <w:b/>
        <w:bCs/>
        <w:color w:val="FFCC9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48B" w:rsidRDefault="0016348B">
      <w:r>
        <w:separator/>
      </w:r>
    </w:p>
  </w:footnote>
  <w:footnote w:type="continuationSeparator" w:id="0">
    <w:p w:rsidR="0016348B" w:rsidRDefault="0016348B">
      <w:r>
        <w:continuationSeparator/>
      </w:r>
    </w:p>
  </w:footnote>
  <w:footnote w:id="1">
    <w:p w:rsidR="00E907DB" w:rsidRPr="00417EDC" w:rsidRDefault="00E907DB" w:rsidP="00BD7EA7">
      <w:pPr>
        <w:pStyle w:val="Notedebasdepage"/>
        <w:jc w:val="both"/>
        <w:rPr>
          <w:rFonts w:ascii="Palatino Linotype" w:hAnsi="Palatino Linotype"/>
          <w:sz w:val="18"/>
          <w:szCs w:val="18"/>
        </w:rPr>
      </w:pPr>
      <w:r w:rsidRPr="00417EDC">
        <w:rPr>
          <w:rStyle w:val="Appelnotedebasdep"/>
          <w:rFonts w:ascii="Palatino Linotype" w:hAnsi="Palatino Linotype"/>
          <w:sz w:val="18"/>
          <w:szCs w:val="18"/>
        </w:rPr>
        <w:footnoteRef/>
      </w:r>
      <w:r w:rsidRPr="00417EDC">
        <w:rPr>
          <w:rFonts w:ascii="Palatino Linotype" w:hAnsi="Palatino Linotype"/>
          <w:sz w:val="18"/>
          <w:szCs w:val="18"/>
        </w:rPr>
        <w:t xml:space="preserve"> </w:t>
      </w:r>
      <w:r w:rsidR="00BD7EA7" w:rsidRPr="00417EDC">
        <w:rPr>
          <w:rFonts w:ascii="Palatino Linotype" w:hAnsi="Palatino Linotype"/>
          <w:sz w:val="18"/>
          <w:szCs w:val="18"/>
        </w:rPr>
        <w:t>Outre la libre circulation des facteurs de productions et des biens et services qui caractérisent le marché commun, ici va s’ajouter l’h</w:t>
      </w:r>
      <w:r w:rsidRPr="00417EDC">
        <w:rPr>
          <w:rFonts w:ascii="Palatino Linotype" w:hAnsi="Palatino Linotype"/>
          <w:sz w:val="18"/>
          <w:szCs w:val="18"/>
        </w:rPr>
        <w:t xml:space="preserve">armonisation des politiques </w:t>
      </w:r>
      <w:r w:rsidR="00BD7EA7" w:rsidRPr="00417EDC">
        <w:rPr>
          <w:rFonts w:ascii="Palatino Linotype" w:hAnsi="Palatino Linotype"/>
          <w:sz w:val="18"/>
          <w:szCs w:val="18"/>
        </w:rPr>
        <w:t>économique.</w:t>
      </w:r>
    </w:p>
  </w:footnote>
  <w:footnote w:id="2">
    <w:p w:rsidR="00FE1500" w:rsidRPr="00417EDC" w:rsidRDefault="00FC1BE3" w:rsidP="00417EDC">
      <w:pPr>
        <w:pStyle w:val="Notedebasdepage"/>
        <w:ind w:right="-143"/>
        <w:rPr>
          <w:rFonts w:ascii="Palatino Linotype" w:hAnsi="Palatino Linotype"/>
          <w:sz w:val="18"/>
          <w:szCs w:val="18"/>
        </w:rPr>
      </w:pPr>
      <w:r w:rsidRPr="00417EDC">
        <w:rPr>
          <w:rStyle w:val="Appelnotedebasdep"/>
          <w:rFonts w:ascii="Palatino Linotype" w:hAnsi="Palatino Linotype"/>
          <w:sz w:val="18"/>
          <w:szCs w:val="18"/>
        </w:rPr>
        <w:footnoteRef/>
      </w:r>
      <w:r w:rsidRPr="00417EDC">
        <w:rPr>
          <w:rFonts w:ascii="Palatino Linotype" w:hAnsi="Palatino Linotype"/>
          <w:sz w:val="18"/>
          <w:szCs w:val="18"/>
        </w:rPr>
        <w:t xml:space="preserve"> </w:t>
      </w:r>
      <w:proofErr w:type="spellStart"/>
      <w:r w:rsidRPr="00417EDC">
        <w:rPr>
          <w:rFonts w:ascii="Palatino Linotype" w:hAnsi="Palatino Linotype"/>
          <w:sz w:val="18"/>
          <w:szCs w:val="18"/>
        </w:rPr>
        <w:t>Beji</w:t>
      </w:r>
      <w:proofErr w:type="spellEnd"/>
      <w:r w:rsidRPr="00417EDC">
        <w:rPr>
          <w:rFonts w:ascii="Palatino Linotype" w:hAnsi="Palatino Linotype"/>
          <w:sz w:val="18"/>
          <w:szCs w:val="18"/>
        </w:rPr>
        <w:t xml:space="preserve">, </w:t>
      </w:r>
      <w:proofErr w:type="spellStart"/>
      <w:r w:rsidRPr="00417EDC">
        <w:rPr>
          <w:rFonts w:ascii="Palatino Linotype" w:hAnsi="Palatino Linotype"/>
          <w:sz w:val="18"/>
          <w:szCs w:val="18"/>
        </w:rPr>
        <w:t>Samaouel</w:t>
      </w:r>
      <w:proofErr w:type="spellEnd"/>
      <w:r w:rsidRPr="00417EDC">
        <w:rPr>
          <w:rFonts w:ascii="Palatino Linotype" w:hAnsi="Palatino Linotype"/>
          <w:sz w:val="18"/>
          <w:szCs w:val="18"/>
        </w:rPr>
        <w:t xml:space="preserve">, « La problématique de l’intégration financière et monétaire dans le cadre de la NPV: Approche institutionnelle et calcul de seuils de développement», in </w:t>
      </w:r>
      <w:r w:rsidR="00FE1500" w:rsidRPr="00417EDC">
        <w:rPr>
          <w:rFonts w:ascii="Palatino Linotype" w:hAnsi="Palatino Linotype"/>
          <w:sz w:val="18"/>
          <w:szCs w:val="18"/>
        </w:rPr>
        <w:t>www.ps2d.net/media/samaouel_beji.pdf</w:t>
      </w:r>
      <w:r w:rsidR="00417EDC" w:rsidRPr="00417EDC">
        <w:rPr>
          <w:rFonts w:ascii="Palatino Linotype" w:hAnsi="Palatino Linotype"/>
          <w:sz w:val="18"/>
          <w:szCs w:val="18"/>
        </w:rPr>
        <w:t>.</w:t>
      </w:r>
    </w:p>
  </w:footnote>
  <w:footnote w:id="3">
    <w:p w:rsidR="00FC1BE3" w:rsidRPr="00417EDC" w:rsidRDefault="00FC1BE3" w:rsidP="00417EDC">
      <w:pPr>
        <w:pStyle w:val="Notedebasdepage"/>
        <w:ind w:right="-143"/>
        <w:jc w:val="both"/>
        <w:rPr>
          <w:rFonts w:ascii="Palatino Linotype" w:hAnsi="Palatino Linotype"/>
          <w:sz w:val="18"/>
          <w:szCs w:val="18"/>
        </w:rPr>
      </w:pPr>
      <w:r w:rsidRPr="00417EDC">
        <w:rPr>
          <w:rStyle w:val="Appelnotedebasdep"/>
          <w:rFonts w:ascii="Palatino Linotype" w:hAnsi="Palatino Linotype"/>
          <w:sz w:val="18"/>
          <w:szCs w:val="18"/>
        </w:rPr>
        <w:footnoteRef/>
      </w:r>
      <w:r w:rsidRPr="00417EDC">
        <w:rPr>
          <w:rFonts w:ascii="Palatino Linotype" w:hAnsi="Palatino Linotype"/>
          <w:sz w:val="18"/>
          <w:szCs w:val="18"/>
        </w:rPr>
        <w:t xml:space="preserve"> </w:t>
      </w:r>
      <w:proofErr w:type="spellStart"/>
      <w:r w:rsidRPr="00417EDC">
        <w:rPr>
          <w:rFonts w:ascii="Palatino Linotype" w:hAnsi="Palatino Linotype"/>
          <w:sz w:val="18"/>
          <w:szCs w:val="18"/>
        </w:rPr>
        <w:t>Mensi</w:t>
      </w:r>
      <w:proofErr w:type="spellEnd"/>
      <w:r w:rsidRPr="00417EDC">
        <w:rPr>
          <w:rFonts w:ascii="Palatino Linotype" w:hAnsi="Palatino Linotype"/>
          <w:sz w:val="18"/>
          <w:szCs w:val="18"/>
        </w:rPr>
        <w:t xml:space="preserve">, S; L. </w:t>
      </w:r>
      <w:proofErr w:type="spellStart"/>
      <w:r w:rsidRPr="00417EDC">
        <w:rPr>
          <w:rFonts w:ascii="Palatino Linotype" w:hAnsi="Palatino Linotype"/>
          <w:sz w:val="18"/>
          <w:szCs w:val="18"/>
        </w:rPr>
        <w:t>Bassole</w:t>
      </w:r>
      <w:proofErr w:type="spellEnd"/>
      <w:r w:rsidRPr="00417EDC">
        <w:rPr>
          <w:rFonts w:ascii="Palatino Linotype" w:hAnsi="Palatino Linotype"/>
          <w:sz w:val="18"/>
          <w:szCs w:val="18"/>
        </w:rPr>
        <w:t xml:space="preserve"> et G Mouanda-Mouanda, 2010, «L’intégration financière, l’instabilité financière et la croissance </w:t>
      </w:r>
      <w:proofErr w:type="spellStart"/>
      <w:r w:rsidRPr="00417EDC">
        <w:rPr>
          <w:rFonts w:ascii="Palatino Linotype" w:hAnsi="Palatino Linotype"/>
          <w:sz w:val="18"/>
          <w:szCs w:val="18"/>
        </w:rPr>
        <w:t>économique:Spécifications</w:t>
      </w:r>
      <w:proofErr w:type="spellEnd"/>
      <w:r w:rsidRPr="00417EDC">
        <w:rPr>
          <w:rFonts w:ascii="Palatino Linotype" w:hAnsi="Palatino Linotype"/>
          <w:sz w:val="18"/>
          <w:szCs w:val="18"/>
        </w:rPr>
        <w:t xml:space="preserve"> et estimations en données de panel», ACPC </w:t>
      </w:r>
      <w:proofErr w:type="spellStart"/>
      <w:r w:rsidRPr="00417EDC">
        <w:rPr>
          <w:rFonts w:ascii="Palatino Linotype" w:hAnsi="Palatino Linotype"/>
          <w:sz w:val="18"/>
          <w:szCs w:val="18"/>
        </w:rPr>
        <w:t>Working</w:t>
      </w:r>
      <w:proofErr w:type="spellEnd"/>
      <w:r w:rsidRPr="00417EDC">
        <w:rPr>
          <w:rFonts w:ascii="Palatino Linotype" w:hAnsi="Palatino Linotype"/>
          <w:sz w:val="18"/>
          <w:szCs w:val="18"/>
        </w:rPr>
        <w:t xml:space="preserve"> </w:t>
      </w:r>
      <w:proofErr w:type="spellStart"/>
      <w:r w:rsidRPr="00417EDC">
        <w:rPr>
          <w:rFonts w:ascii="Palatino Linotype" w:hAnsi="Palatino Linotype"/>
          <w:sz w:val="18"/>
          <w:szCs w:val="18"/>
        </w:rPr>
        <w:t>Paper</w:t>
      </w:r>
      <w:proofErr w:type="spellEnd"/>
      <w:r w:rsidRPr="00417EDC">
        <w:rPr>
          <w:rFonts w:ascii="Palatino Linotype" w:hAnsi="Palatino Linotype"/>
          <w:sz w:val="18"/>
          <w:szCs w:val="18"/>
        </w:rPr>
        <w:t xml:space="preserve"> numéro 82</w:t>
      </w:r>
      <w:r w:rsidR="00A76287" w:rsidRPr="00417EDC">
        <w:rPr>
          <w:rFonts w:ascii="Palatino Linotype" w:hAnsi="Palatino Linotype"/>
          <w:sz w:val="18"/>
          <w:szCs w:val="18"/>
        </w:rPr>
        <w:t>.</w:t>
      </w:r>
    </w:p>
  </w:footnote>
  <w:footnote w:id="4">
    <w:p w:rsidR="00FC1BE3" w:rsidRPr="00417EDC" w:rsidRDefault="00FC1BE3" w:rsidP="00417EDC">
      <w:pPr>
        <w:autoSpaceDE w:val="0"/>
        <w:autoSpaceDN w:val="0"/>
        <w:adjustRightInd w:val="0"/>
        <w:jc w:val="both"/>
        <w:rPr>
          <w:rFonts w:ascii="Palatino Linotype" w:eastAsia="Calibri" w:hAnsi="Palatino Linotype"/>
          <w:sz w:val="18"/>
          <w:szCs w:val="18"/>
          <w:lang w:eastAsia="en-US"/>
        </w:rPr>
      </w:pPr>
      <w:r w:rsidRPr="00417EDC">
        <w:rPr>
          <w:rStyle w:val="Appelnotedebasdep"/>
          <w:rFonts w:ascii="Palatino Linotype" w:hAnsi="Palatino Linotype"/>
          <w:sz w:val="22"/>
          <w:szCs w:val="22"/>
        </w:rPr>
        <w:footnoteRef/>
      </w:r>
      <w:r w:rsidRPr="00417EDC">
        <w:rPr>
          <w:rFonts w:ascii="Palatino Linotype" w:hAnsi="Palatino Linotype"/>
          <w:sz w:val="22"/>
          <w:szCs w:val="22"/>
        </w:rPr>
        <w:t xml:space="preserve"> </w:t>
      </w:r>
      <w:proofErr w:type="spellStart"/>
      <w:r w:rsidRPr="00417EDC">
        <w:rPr>
          <w:rFonts w:ascii="Palatino Linotype" w:eastAsia="Calibri" w:hAnsi="Palatino Linotype"/>
          <w:sz w:val="18"/>
          <w:szCs w:val="18"/>
          <w:lang w:eastAsia="en-US"/>
        </w:rPr>
        <w:t>Turunc</w:t>
      </w:r>
      <w:proofErr w:type="spellEnd"/>
      <w:r w:rsidRPr="00417EDC">
        <w:rPr>
          <w:rFonts w:ascii="Palatino Linotype" w:eastAsia="Calibri" w:hAnsi="Palatino Linotype"/>
          <w:sz w:val="18"/>
          <w:szCs w:val="18"/>
          <w:lang w:eastAsia="en-US"/>
        </w:rPr>
        <w:t>, G, 1999, « que dans la pratique il est difficile d’aller très loin dans l’intégration financière sans Intégration monétaire », in Revue Région et Développement, numéro 10-1999</w:t>
      </w:r>
      <w:r w:rsidR="00FE1500" w:rsidRPr="00417EDC">
        <w:rPr>
          <w:rFonts w:ascii="Palatino Linotype" w:eastAsia="Calibri" w:hAnsi="Palatino Linotype"/>
          <w:sz w:val="18"/>
          <w:szCs w:val="18"/>
          <w:lang w:eastAsia="en-US"/>
        </w:rPr>
        <w:t>.</w:t>
      </w:r>
    </w:p>
  </w:footnote>
  <w:footnote w:id="5">
    <w:p w:rsidR="00FC1BE3" w:rsidRPr="00417EDC" w:rsidRDefault="00FC1BE3" w:rsidP="00FE1500">
      <w:pPr>
        <w:pStyle w:val="Notedebasdepage"/>
        <w:rPr>
          <w:rFonts w:ascii="Palatino Linotype" w:hAnsi="Palatino Linotype"/>
          <w:sz w:val="18"/>
          <w:szCs w:val="18"/>
        </w:rPr>
      </w:pPr>
      <w:r w:rsidRPr="00417EDC">
        <w:rPr>
          <w:rStyle w:val="Appelnotedebasdep"/>
          <w:rFonts w:ascii="Palatino Linotype" w:hAnsi="Palatino Linotype"/>
          <w:sz w:val="18"/>
          <w:szCs w:val="18"/>
        </w:rPr>
        <w:footnoteRef/>
      </w:r>
      <w:r w:rsidRPr="00417EDC">
        <w:rPr>
          <w:rFonts w:ascii="Palatino Linotype" w:hAnsi="Palatino Linotype"/>
          <w:sz w:val="18"/>
          <w:szCs w:val="18"/>
        </w:rPr>
        <w:t xml:space="preserve"> CEA-AN, 2008, «La mobilité des capitaux en Afrique du Nord»</w:t>
      </w:r>
      <w:r w:rsidR="00FE1500" w:rsidRPr="00417EDC">
        <w:rPr>
          <w:rFonts w:ascii="Palatino Linotype" w:hAnsi="Palatino Linotype"/>
          <w:sz w:val="18"/>
          <w:szCs w:val="18"/>
        </w:rPr>
        <w:t>.</w:t>
      </w:r>
    </w:p>
  </w:footnote>
  <w:footnote w:id="6">
    <w:p w:rsidR="00FC1BE3" w:rsidRPr="00417EDC" w:rsidRDefault="00FC1BE3">
      <w:pPr>
        <w:pStyle w:val="Notedebasdepage"/>
        <w:rPr>
          <w:rFonts w:ascii="Palatino Linotype" w:hAnsi="Palatino Linotype"/>
          <w:sz w:val="18"/>
          <w:szCs w:val="18"/>
        </w:rPr>
      </w:pPr>
      <w:r w:rsidRPr="00417EDC">
        <w:rPr>
          <w:rStyle w:val="Appelnotedebasdep"/>
          <w:rFonts w:ascii="Palatino Linotype" w:hAnsi="Palatino Linotype"/>
          <w:sz w:val="18"/>
          <w:szCs w:val="18"/>
        </w:rPr>
        <w:footnoteRef/>
      </w:r>
      <w:r w:rsidRPr="00417EDC">
        <w:rPr>
          <w:rFonts w:ascii="Palatino Linotype" w:hAnsi="Palatino Linotype"/>
          <w:sz w:val="18"/>
          <w:szCs w:val="18"/>
        </w:rPr>
        <w:t xml:space="preserve"> Financial </w:t>
      </w:r>
      <w:proofErr w:type="spellStart"/>
      <w:r w:rsidRPr="00417EDC">
        <w:rPr>
          <w:rFonts w:ascii="Palatino Linotype" w:hAnsi="Palatino Linotype"/>
          <w:sz w:val="18"/>
          <w:szCs w:val="18"/>
        </w:rPr>
        <w:t>Sector</w:t>
      </w:r>
      <w:proofErr w:type="spellEnd"/>
      <w:r w:rsidRPr="00417EDC">
        <w:rPr>
          <w:rFonts w:ascii="Palatino Linotype" w:hAnsi="Palatino Linotype"/>
          <w:sz w:val="18"/>
          <w:szCs w:val="18"/>
        </w:rPr>
        <w:t xml:space="preserve"> </w:t>
      </w:r>
      <w:proofErr w:type="spellStart"/>
      <w:r w:rsidRPr="00417EDC">
        <w:rPr>
          <w:rFonts w:ascii="Palatino Linotype" w:hAnsi="Palatino Linotype"/>
          <w:sz w:val="18"/>
          <w:szCs w:val="18"/>
        </w:rPr>
        <w:t>Assesment</w:t>
      </w:r>
      <w:proofErr w:type="spellEnd"/>
      <w:r w:rsidRPr="00417EDC">
        <w:rPr>
          <w:rFonts w:ascii="Palatino Linotype" w:hAnsi="Palatino Linotype"/>
          <w:sz w:val="18"/>
          <w:szCs w:val="18"/>
        </w:rPr>
        <w:t xml:space="preserve"> Programme du FMI</w:t>
      </w:r>
      <w:r w:rsidR="00FE1500" w:rsidRPr="00417EDC">
        <w:rPr>
          <w:rFonts w:ascii="Palatino Linotype" w:hAnsi="Palatino Linotype"/>
          <w:sz w:val="18"/>
          <w:szCs w:val="18"/>
        </w:rPr>
        <w:t>.</w:t>
      </w:r>
    </w:p>
  </w:footnote>
  <w:footnote w:id="7">
    <w:p w:rsidR="00FC1BE3" w:rsidRPr="00417EDC" w:rsidRDefault="00FC1BE3" w:rsidP="00672786">
      <w:pPr>
        <w:autoSpaceDE w:val="0"/>
        <w:autoSpaceDN w:val="0"/>
        <w:adjustRightInd w:val="0"/>
        <w:rPr>
          <w:rFonts w:ascii="Palatino Linotype" w:hAnsi="Palatino Linotype"/>
          <w:sz w:val="18"/>
          <w:szCs w:val="18"/>
          <w:lang w:val="en-US"/>
        </w:rPr>
      </w:pPr>
      <w:r w:rsidRPr="00417EDC">
        <w:rPr>
          <w:rStyle w:val="Appelnotedebasdep"/>
          <w:rFonts w:ascii="Palatino Linotype" w:hAnsi="Palatino Linotype"/>
          <w:sz w:val="22"/>
          <w:szCs w:val="22"/>
        </w:rPr>
        <w:footnoteRef/>
      </w:r>
      <w:r w:rsidRPr="00417EDC">
        <w:rPr>
          <w:rFonts w:ascii="Palatino Linotype" w:hAnsi="Palatino Linotype"/>
          <w:sz w:val="22"/>
          <w:szCs w:val="22"/>
        </w:rPr>
        <w:t xml:space="preserve"> </w:t>
      </w:r>
      <w:proofErr w:type="spellStart"/>
      <w:r w:rsidRPr="00417EDC">
        <w:rPr>
          <w:rFonts w:ascii="Palatino Linotype" w:hAnsi="Palatino Linotype"/>
          <w:sz w:val="18"/>
          <w:szCs w:val="18"/>
        </w:rPr>
        <w:t>Jetin</w:t>
      </w:r>
      <w:proofErr w:type="spellEnd"/>
      <w:r w:rsidRPr="00417EDC">
        <w:rPr>
          <w:rFonts w:ascii="Palatino Linotype" w:hAnsi="Palatino Linotype"/>
          <w:sz w:val="18"/>
          <w:szCs w:val="18"/>
        </w:rPr>
        <w:t>, B, 2008, « </w:t>
      </w:r>
      <w:r w:rsidRPr="00417EDC">
        <w:rPr>
          <w:rFonts w:ascii="Palatino Linotype" w:hAnsi="Palatino Linotype"/>
          <w:sz w:val="18"/>
          <w:szCs w:val="18"/>
          <w:lang w:eastAsia="en-US"/>
        </w:rPr>
        <w:t>Régionale ou mondiale ? Les enjeux de l’intégration monétaire et financière en Asie.</w:t>
      </w:r>
      <w:r w:rsidRPr="00417EDC">
        <w:rPr>
          <w:rFonts w:ascii="Palatino Linotype" w:hAnsi="Palatino Linotype"/>
          <w:sz w:val="18"/>
          <w:szCs w:val="18"/>
        </w:rPr>
        <w:t xml:space="preserve"> », GARNET </w:t>
      </w:r>
      <w:proofErr w:type="spellStart"/>
      <w:r w:rsidRPr="00417EDC">
        <w:rPr>
          <w:rFonts w:ascii="Palatino Linotype" w:hAnsi="Palatino Linotype"/>
          <w:sz w:val="18"/>
          <w:szCs w:val="18"/>
        </w:rPr>
        <w:t>Annual</w:t>
      </w:r>
      <w:proofErr w:type="spellEnd"/>
      <w:r w:rsidRPr="00417EDC">
        <w:rPr>
          <w:rFonts w:ascii="Palatino Linotype" w:hAnsi="Palatino Linotype"/>
          <w:sz w:val="18"/>
          <w:szCs w:val="18"/>
        </w:rPr>
        <w:t xml:space="preserve"> International conférence 2008. </w:t>
      </w:r>
      <w:proofErr w:type="gramStart"/>
      <w:r w:rsidRPr="00417EDC">
        <w:rPr>
          <w:rFonts w:ascii="Palatino Linotype" w:hAnsi="Palatino Linotype"/>
          <w:sz w:val="18"/>
          <w:szCs w:val="18"/>
          <w:lang w:val="en-US"/>
        </w:rPr>
        <w:t>Mapping integration and regionalism in a Global World.</w:t>
      </w:r>
      <w:proofErr w:type="gramEnd"/>
      <w:r w:rsidRPr="00417EDC">
        <w:rPr>
          <w:rFonts w:ascii="Palatino Linotype" w:hAnsi="Palatino Linotype"/>
          <w:sz w:val="18"/>
          <w:szCs w:val="18"/>
          <w:lang w:val="en-US"/>
        </w:rPr>
        <w:t xml:space="preserve"> </w:t>
      </w:r>
      <w:proofErr w:type="gramStart"/>
      <w:r w:rsidRPr="00417EDC">
        <w:rPr>
          <w:rFonts w:ascii="Palatino Linotype" w:hAnsi="Palatino Linotype"/>
          <w:sz w:val="18"/>
          <w:szCs w:val="18"/>
          <w:lang w:val="en-US"/>
        </w:rPr>
        <w:t>The EU and regional governance outside the EU.</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166" w:rsidRPr="006D5221" w:rsidRDefault="00063166" w:rsidP="004105AA">
    <w:pPr>
      <w:pStyle w:val="En-tte"/>
      <w:jc w:val="center"/>
      <w:rPr>
        <w:rFonts w:ascii="Palatino Linotype" w:hAnsi="Palatino Linotype"/>
        <w:color w:val="CC6600"/>
        <w:sz w:val="22"/>
        <w:szCs w:val="22"/>
      </w:rPr>
    </w:pPr>
    <w:r w:rsidRPr="005B010D">
      <w:rPr>
        <w:rFonts w:ascii="Palatino Linotype" w:hAnsi="Palatino Linotype"/>
        <w:color w:val="CC6600"/>
        <w:sz w:val="22"/>
        <w:szCs w:val="22"/>
      </w:rPr>
      <w:t>Aide m</w:t>
    </w:r>
    <w:r w:rsidRPr="006D5221">
      <w:rPr>
        <w:rFonts w:ascii="Palatino Linotype" w:hAnsi="Palatino Linotype"/>
        <w:color w:val="CC6600"/>
        <w:sz w:val="22"/>
        <w:szCs w:val="22"/>
      </w:rPr>
      <w:t xml:space="preserve">émoire- Intégration financière et gouvernance régionale en Afrique du </w:t>
    </w:r>
    <w:r w:rsidR="004105AA" w:rsidRPr="006D5221">
      <w:rPr>
        <w:rFonts w:ascii="Palatino Linotype" w:hAnsi="Palatino Linotype"/>
        <w:color w:val="CC6600"/>
        <w:sz w:val="22"/>
        <w:szCs w:val="22"/>
      </w:rPr>
      <w:t>N</w:t>
    </w:r>
    <w:r w:rsidRPr="006D5221">
      <w:rPr>
        <w:rFonts w:ascii="Palatino Linotype" w:hAnsi="Palatino Linotype"/>
        <w:color w:val="CC6600"/>
        <w:sz w:val="22"/>
        <w:szCs w:val="22"/>
      </w:rPr>
      <w:t>ord</w:t>
    </w:r>
  </w:p>
  <w:p w:rsidR="00063166" w:rsidRPr="00063166" w:rsidRDefault="00847903" w:rsidP="00063166">
    <w:pPr>
      <w:pStyle w:val="En-tte"/>
      <w:jc w:val="center"/>
      <w:rPr>
        <w:rFonts w:ascii="Palatino Linotype" w:hAnsi="Palatino Linotype"/>
        <w:sz w:val="22"/>
        <w:szCs w:val="22"/>
      </w:rPr>
    </w:pPr>
    <w:r>
      <w:rPr>
        <w:rFonts w:ascii="Palatino Linotype" w:hAnsi="Palatino Linotype"/>
        <w:noProof/>
        <w:sz w:val="22"/>
        <w:szCs w:val="22"/>
        <w:lang w:val="en-US" w:eastAsia="en-US"/>
      </w:rPr>
      <w:pict>
        <v:shapetype id="_x0000_t32" coordsize="21600,21600" o:spt="32" o:oned="t" path="m,l21600,21600e" filled="f">
          <v:path arrowok="t" fillok="f" o:connecttype="none"/>
          <o:lock v:ext="edit" shapetype="t"/>
        </v:shapetype>
        <v:shape id="_x0000_s2060" type="#_x0000_t32" style="position:absolute;left:0;text-align:left;margin-left:54pt;margin-top:33.6pt;width:487.5pt;height:.05pt;z-index:251659264;mso-position-horizontal-relative:page;mso-position-vertical-relative:page;mso-height-relative:bottom-margin-area;v-text-anchor:middle" o:connectortype="straight" strokecolor="#c60" strokeweight="1pt">
          <w10:wrap anchorx="margin"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30E9B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4C4F40"/>
    <w:multiLevelType w:val="hybridMultilevel"/>
    <w:tmpl w:val="9C5294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25D659C"/>
    <w:multiLevelType w:val="hybridMultilevel"/>
    <w:tmpl w:val="D75ED4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8F37AF4"/>
    <w:multiLevelType w:val="hybridMultilevel"/>
    <w:tmpl w:val="51C20DA8"/>
    <w:lvl w:ilvl="0" w:tplc="F6AA79CE">
      <w:start w:val="1"/>
      <w:numFmt w:val="bullet"/>
      <w:lvlText w:val=""/>
      <w:lvlJc w:val="left"/>
      <w:pPr>
        <w:ind w:left="720" w:hanging="360"/>
      </w:pPr>
      <w:rPr>
        <w:rFonts w:ascii="Wingdings" w:hAnsi="Wingdings" w:hint="default"/>
        <w:color w:val="9933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B876040"/>
    <w:multiLevelType w:val="hybridMultilevel"/>
    <w:tmpl w:val="81A07154"/>
    <w:lvl w:ilvl="0" w:tplc="3762FA3C">
      <w:start w:val="1"/>
      <w:numFmt w:val="upperRoman"/>
      <w:lvlText w:val="%1."/>
      <w:lvlJc w:val="left"/>
      <w:pPr>
        <w:tabs>
          <w:tab w:val="num" w:pos="720"/>
        </w:tabs>
        <w:ind w:left="720" w:hanging="360"/>
      </w:pPr>
      <w:rPr>
        <w:rFonts w:ascii="Calibri" w:eastAsia="Calibri" w:hAnsi="Calibri" w:cs="Times New Roman"/>
      </w:rPr>
    </w:lvl>
    <w:lvl w:ilvl="1" w:tplc="F6AA79CE">
      <w:start w:val="1"/>
      <w:numFmt w:val="bullet"/>
      <w:lvlText w:val=""/>
      <w:lvlJc w:val="left"/>
      <w:pPr>
        <w:tabs>
          <w:tab w:val="num" w:pos="1440"/>
        </w:tabs>
        <w:ind w:left="1440" w:hanging="360"/>
      </w:pPr>
      <w:rPr>
        <w:rFonts w:ascii="Wingdings" w:hAnsi="Wingdings" w:hint="default"/>
        <w:color w:val="993300"/>
      </w:rPr>
    </w:lvl>
    <w:lvl w:ilvl="2" w:tplc="4AF05A02" w:tentative="1">
      <w:start w:val="1"/>
      <w:numFmt w:val="bullet"/>
      <w:lvlText w:val=""/>
      <w:lvlJc w:val="left"/>
      <w:pPr>
        <w:tabs>
          <w:tab w:val="num" w:pos="2160"/>
        </w:tabs>
        <w:ind w:left="2160" w:hanging="360"/>
      </w:pPr>
      <w:rPr>
        <w:rFonts w:ascii="Wingdings" w:hAnsi="Wingdings" w:hint="default"/>
      </w:rPr>
    </w:lvl>
    <w:lvl w:ilvl="3" w:tplc="9670DC82" w:tentative="1">
      <w:start w:val="1"/>
      <w:numFmt w:val="bullet"/>
      <w:lvlText w:val=""/>
      <w:lvlJc w:val="left"/>
      <w:pPr>
        <w:tabs>
          <w:tab w:val="num" w:pos="2880"/>
        </w:tabs>
        <w:ind w:left="2880" w:hanging="360"/>
      </w:pPr>
      <w:rPr>
        <w:rFonts w:ascii="Wingdings" w:hAnsi="Wingdings" w:hint="default"/>
      </w:rPr>
    </w:lvl>
    <w:lvl w:ilvl="4" w:tplc="23829E02" w:tentative="1">
      <w:start w:val="1"/>
      <w:numFmt w:val="bullet"/>
      <w:lvlText w:val=""/>
      <w:lvlJc w:val="left"/>
      <w:pPr>
        <w:tabs>
          <w:tab w:val="num" w:pos="3600"/>
        </w:tabs>
        <w:ind w:left="3600" w:hanging="360"/>
      </w:pPr>
      <w:rPr>
        <w:rFonts w:ascii="Wingdings" w:hAnsi="Wingdings" w:hint="default"/>
      </w:rPr>
    </w:lvl>
    <w:lvl w:ilvl="5" w:tplc="3A3EDCD8" w:tentative="1">
      <w:start w:val="1"/>
      <w:numFmt w:val="bullet"/>
      <w:lvlText w:val=""/>
      <w:lvlJc w:val="left"/>
      <w:pPr>
        <w:tabs>
          <w:tab w:val="num" w:pos="4320"/>
        </w:tabs>
        <w:ind w:left="4320" w:hanging="360"/>
      </w:pPr>
      <w:rPr>
        <w:rFonts w:ascii="Wingdings" w:hAnsi="Wingdings" w:hint="default"/>
      </w:rPr>
    </w:lvl>
    <w:lvl w:ilvl="6" w:tplc="F16A0E9E" w:tentative="1">
      <w:start w:val="1"/>
      <w:numFmt w:val="bullet"/>
      <w:lvlText w:val=""/>
      <w:lvlJc w:val="left"/>
      <w:pPr>
        <w:tabs>
          <w:tab w:val="num" w:pos="5040"/>
        </w:tabs>
        <w:ind w:left="5040" w:hanging="360"/>
      </w:pPr>
      <w:rPr>
        <w:rFonts w:ascii="Wingdings" w:hAnsi="Wingdings" w:hint="default"/>
      </w:rPr>
    </w:lvl>
    <w:lvl w:ilvl="7" w:tplc="3AA67888" w:tentative="1">
      <w:start w:val="1"/>
      <w:numFmt w:val="bullet"/>
      <w:lvlText w:val=""/>
      <w:lvlJc w:val="left"/>
      <w:pPr>
        <w:tabs>
          <w:tab w:val="num" w:pos="5760"/>
        </w:tabs>
        <w:ind w:left="5760" w:hanging="360"/>
      </w:pPr>
      <w:rPr>
        <w:rFonts w:ascii="Wingdings" w:hAnsi="Wingdings" w:hint="default"/>
      </w:rPr>
    </w:lvl>
    <w:lvl w:ilvl="8" w:tplc="8E48D376" w:tentative="1">
      <w:start w:val="1"/>
      <w:numFmt w:val="bullet"/>
      <w:lvlText w:val=""/>
      <w:lvlJc w:val="left"/>
      <w:pPr>
        <w:tabs>
          <w:tab w:val="num" w:pos="6480"/>
        </w:tabs>
        <w:ind w:left="6480" w:hanging="360"/>
      </w:pPr>
      <w:rPr>
        <w:rFonts w:ascii="Wingdings" w:hAnsi="Wingdings" w:hint="default"/>
      </w:rPr>
    </w:lvl>
  </w:abstractNum>
  <w:abstractNum w:abstractNumId="5">
    <w:nsid w:val="13CB009D"/>
    <w:multiLevelType w:val="hybridMultilevel"/>
    <w:tmpl w:val="BA387058"/>
    <w:lvl w:ilvl="0" w:tplc="9C38A2A2">
      <w:start w:val="1"/>
      <w:numFmt w:val="decimal"/>
      <w:lvlText w:val="%1."/>
      <w:lvlJc w:val="left"/>
      <w:pPr>
        <w:ind w:left="720" w:hanging="360"/>
      </w:pPr>
      <w:rPr>
        <w:rFonts w:ascii="Cambria" w:hAnsi="Cambria"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3DB737F"/>
    <w:multiLevelType w:val="hybridMultilevel"/>
    <w:tmpl w:val="202470C4"/>
    <w:lvl w:ilvl="0" w:tplc="04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755563D"/>
    <w:multiLevelType w:val="hybridMultilevel"/>
    <w:tmpl w:val="2BD2767E"/>
    <w:lvl w:ilvl="0" w:tplc="288A937E">
      <w:start w:val="1"/>
      <w:numFmt w:val="lowerRoman"/>
      <w:lvlText w:val="(%1)"/>
      <w:lvlJc w:val="left"/>
      <w:pPr>
        <w:ind w:left="1080" w:hanging="720"/>
      </w:pPr>
      <w:rPr>
        <w:rFonts w:ascii="Cambria" w:eastAsia="Times New Roman" w:hAnsi="Cambria"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A5261B9"/>
    <w:multiLevelType w:val="hybridMultilevel"/>
    <w:tmpl w:val="CB1EE0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E5021E2"/>
    <w:multiLevelType w:val="hybridMultilevel"/>
    <w:tmpl w:val="0B7AAB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09F210B"/>
    <w:multiLevelType w:val="hybridMultilevel"/>
    <w:tmpl w:val="ABA66AF2"/>
    <w:lvl w:ilvl="0" w:tplc="F6AA79CE">
      <w:start w:val="1"/>
      <w:numFmt w:val="bullet"/>
      <w:lvlText w:val=""/>
      <w:lvlJc w:val="left"/>
      <w:pPr>
        <w:ind w:left="1004" w:hanging="360"/>
      </w:pPr>
      <w:rPr>
        <w:rFonts w:ascii="Wingdings" w:hAnsi="Wingdings" w:hint="default"/>
        <w:color w:val="993300"/>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nsid w:val="2486622E"/>
    <w:multiLevelType w:val="hybridMultilevel"/>
    <w:tmpl w:val="1E9CC7D4"/>
    <w:lvl w:ilvl="0" w:tplc="157477B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51B4916"/>
    <w:multiLevelType w:val="hybridMultilevel"/>
    <w:tmpl w:val="23DAD4EE"/>
    <w:lvl w:ilvl="0" w:tplc="32D0AD38">
      <w:start w:val="12"/>
      <w:numFmt w:val="bullet"/>
      <w:lvlText w:val="-"/>
      <w:lvlJc w:val="left"/>
      <w:pPr>
        <w:ind w:left="2880" w:hanging="360"/>
      </w:pPr>
      <w:rPr>
        <w:rFonts w:ascii="Arial Narrow" w:eastAsia="Times New Roman" w:hAnsi="Arial Narrow" w:cs="Times New Roman"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13">
    <w:nsid w:val="26856C9E"/>
    <w:multiLevelType w:val="hybridMultilevel"/>
    <w:tmpl w:val="8EFA8A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2CF7E56"/>
    <w:multiLevelType w:val="hybridMultilevel"/>
    <w:tmpl w:val="7778A7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3614028"/>
    <w:multiLevelType w:val="hybridMultilevel"/>
    <w:tmpl w:val="038C71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3D94831"/>
    <w:multiLevelType w:val="hybridMultilevel"/>
    <w:tmpl w:val="239688EA"/>
    <w:lvl w:ilvl="0" w:tplc="2B662F12">
      <w:start w:val="1"/>
      <w:numFmt w:val="decimal"/>
      <w:lvlText w:val="%1."/>
      <w:lvlJc w:val="right"/>
      <w:pPr>
        <w:ind w:left="720" w:hanging="360"/>
      </w:pPr>
      <w:rPr>
        <w:rFonts w:ascii="Times New Roman" w:eastAsia="Times New Roman" w:hAnsi="Times New Roman"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5720FA3"/>
    <w:multiLevelType w:val="hybridMultilevel"/>
    <w:tmpl w:val="1EC27838"/>
    <w:lvl w:ilvl="0" w:tplc="040C000D">
      <w:start w:val="1"/>
      <w:numFmt w:val="bullet"/>
      <w:lvlText w:val=""/>
      <w:lvlJc w:val="left"/>
      <w:pPr>
        <w:tabs>
          <w:tab w:val="num" w:pos="720"/>
        </w:tabs>
        <w:ind w:left="720" w:hanging="360"/>
      </w:pPr>
      <w:rPr>
        <w:rFonts w:ascii="Wingdings" w:hAnsi="Wingdings" w:hint="default"/>
      </w:rPr>
    </w:lvl>
    <w:lvl w:ilvl="1" w:tplc="C2E8BE92" w:tentative="1">
      <w:start w:val="1"/>
      <w:numFmt w:val="bullet"/>
      <w:lvlText w:val="►"/>
      <w:lvlJc w:val="left"/>
      <w:pPr>
        <w:tabs>
          <w:tab w:val="num" w:pos="1440"/>
        </w:tabs>
        <w:ind w:left="1440" w:hanging="360"/>
      </w:pPr>
      <w:rPr>
        <w:rFonts w:ascii="Arial" w:hAnsi="Arial" w:hint="default"/>
      </w:rPr>
    </w:lvl>
    <w:lvl w:ilvl="2" w:tplc="69D209F6" w:tentative="1">
      <w:start w:val="1"/>
      <w:numFmt w:val="bullet"/>
      <w:lvlText w:val="►"/>
      <w:lvlJc w:val="left"/>
      <w:pPr>
        <w:tabs>
          <w:tab w:val="num" w:pos="2160"/>
        </w:tabs>
        <w:ind w:left="2160" w:hanging="360"/>
      </w:pPr>
      <w:rPr>
        <w:rFonts w:ascii="Arial" w:hAnsi="Arial" w:hint="default"/>
      </w:rPr>
    </w:lvl>
    <w:lvl w:ilvl="3" w:tplc="9154BD3C" w:tentative="1">
      <w:start w:val="1"/>
      <w:numFmt w:val="bullet"/>
      <w:lvlText w:val="►"/>
      <w:lvlJc w:val="left"/>
      <w:pPr>
        <w:tabs>
          <w:tab w:val="num" w:pos="2880"/>
        </w:tabs>
        <w:ind w:left="2880" w:hanging="360"/>
      </w:pPr>
      <w:rPr>
        <w:rFonts w:ascii="Arial" w:hAnsi="Arial" w:hint="default"/>
      </w:rPr>
    </w:lvl>
    <w:lvl w:ilvl="4" w:tplc="2D488E32" w:tentative="1">
      <w:start w:val="1"/>
      <w:numFmt w:val="bullet"/>
      <w:lvlText w:val="►"/>
      <w:lvlJc w:val="left"/>
      <w:pPr>
        <w:tabs>
          <w:tab w:val="num" w:pos="3600"/>
        </w:tabs>
        <w:ind w:left="3600" w:hanging="360"/>
      </w:pPr>
      <w:rPr>
        <w:rFonts w:ascii="Arial" w:hAnsi="Arial" w:hint="default"/>
      </w:rPr>
    </w:lvl>
    <w:lvl w:ilvl="5" w:tplc="A2F40C06" w:tentative="1">
      <w:start w:val="1"/>
      <w:numFmt w:val="bullet"/>
      <w:lvlText w:val="►"/>
      <w:lvlJc w:val="left"/>
      <w:pPr>
        <w:tabs>
          <w:tab w:val="num" w:pos="4320"/>
        </w:tabs>
        <w:ind w:left="4320" w:hanging="360"/>
      </w:pPr>
      <w:rPr>
        <w:rFonts w:ascii="Arial" w:hAnsi="Arial" w:hint="default"/>
      </w:rPr>
    </w:lvl>
    <w:lvl w:ilvl="6" w:tplc="C1348F82" w:tentative="1">
      <w:start w:val="1"/>
      <w:numFmt w:val="bullet"/>
      <w:lvlText w:val="►"/>
      <w:lvlJc w:val="left"/>
      <w:pPr>
        <w:tabs>
          <w:tab w:val="num" w:pos="5040"/>
        </w:tabs>
        <w:ind w:left="5040" w:hanging="360"/>
      </w:pPr>
      <w:rPr>
        <w:rFonts w:ascii="Arial" w:hAnsi="Arial" w:hint="default"/>
      </w:rPr>
    </w:lvl>
    <w:lvl w:ilvl="7" w:tplc="D3CE2BC6" w:tentative="1">
      <w:start w:val="1"/>
      <w:numFmt w:val="bullet"/>
      <w:lvlText w:val="►"/>
      <w:lvlJc w:val="left"/>
      <w:pPr>
        <w:tabs>
          <w:tab w:val="num" w:pos="5760"/>
        </w:tabs>
        <w:ind w:left="5760" w:hanging="360"/>
      </w:pPr>
      <w:rPr>
        <w:rFonts w:ascii="Arial" w:hAnsi="Arial" w:hint="default"/>
      </w:rPr>
    </w:lvl>
    <w:lvl w:ilvl="8" w:tplc="CBB46FC2" w:tentative="1">
      <w:start w:val="1"/>
      <w:numFmt w:val="bullet"/>
      <w:lvlText w:val="►"/>
      <w:lvlJc w:val="left"/>
      <w:pPr>
        <w:tabs>
          <w:tab w:val="num" w:pos="6480"/>
        </w:tabs>
        <w:ind w:left="6480" w:hanging="360"/>
      </w:pPr>
      <w:rPr>
        <w:rFonts w:ascii="Arial" w:hAnsi="Arial" w:hint="default"/>
      </w:rPr>
    </w:lvl>
  </w:abstractNum>
  <w:abstractNum w:abstractNumId="18">
    <w:nsid w:val="37156212"/>
    <w:multiLevelType w:val="hybridMultilevel"/>
    <w:tmpl w:val="28E09D32"/>
    <w:lvl w:ilvl="0" w:tplc="040C0003">
      <w:start w:val="1"/>
      <w:numFmt w:val="bullet"/>
      <w:lvlText w:val="o"/>
      <w:lvlJc w:val="left"/>
      <w:pPr>
        <w:ind w:left="1288" w:hanging="360"/>
      </w:pPr>
      <w:rPr>
        <w:rFonts w:ascii="Courier New" w:hAnsi="Courier New" w:cs="Courier New" w:hint="default"/>
      </w:rPr>
    </w:lvl>
    <w:lvl w:ilvl="1" w:tplc="040C0003">
      <w:start w:val="1"/>
      <w:numFmt w:val="bullet"/>
      <w:lvlText w:val="o"/>
      <w:lvlJc w:val="left"/>
      <w:pPr>
        <w:ind w:left="2008" w:hanging="360"/>
      </w:pPr>
      <w:rPr>
        <w:rFonts w:ascii="Courier New" w:hAnsi="Courier New" w:cs="Courier New" w:hint="default"/>
      </w:rPr>
    </w:lvl>
    <w:lvl w:ilvl="2" w:tplc="040C0005">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9">
    <w:nsid w:val="3A3A144D"/>
    <w:multiLevelType w:val="hybridMultilevel"/>
    <w:tmpl w:val="E1BC8EF0"/>
    <w:lvl w:ilvl="0" w:tplc="F6AA79CE">
      <w:start w:val="1"/>
      <w:numFmt w:val="bullet"/>
      <w:lvlText w:val=""/>
      <w:lvlJc w:val="left"/>
      <w:pPr>
        <w:ind w:left="1068" w:hanging="360"/>
      </w:pPr>
      <w:rPr>
        <w:rFonts w:ascii="Wingdings" w:hAnsi="Wingdings" w:hint="default"/>
        <w:color w:val="993300"/>
      </w:rPr>
    </w:lvl>
    <w:lvl w:ilvl="1" w:tplc="F6AA79CE">
      <w:start w:val="1"/>
      <w:numFmt w:val="bullet"/>
      <w:lvlText w:val=""/>
      <w:lvlJc w:val="left"/>
      <w:pPr>
        <w:ind w:left="1788" w:hanging="360"/>
      </w:pPr>
      <w:rPr>
        <w:rFonts w:ascii="Wingdings" w:hAnsi="Wingdings" w:hint="default"/>
        <w:color w:val="993300"/>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nsid w:val="3CF00D18"/>
    <w:multiLevelType w:val="hybridMultilevel"/>
    <w:tmpl w:val="0B2E1E36"/>
    <w:lvl w:ilvl="0" w:tplc="F6AA79CE">
      <w:start w:val="1"/>
      <w:numFmt w:val="bullet"/>
      <w:lvlText w:val=""/>
      <w:lvlJc w:val="left"/>
      <w:pPr>
        <w:ind w:left="720" w:hanging="360"/>
      </w:pPr>
      <w:rPr>
        <w:rFonts w:ascii="Wingdings" w:hAnsi="Wingdings" w:hint="default"/>
        <w:color w:val="9933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E1E5888"/>
    <w:multiLevelType w:val="hybridMultilevel"/>
    <w:tmpl w:val="2F2616F6"/>
    <w:lvl w:ilvl="0" w:tplc="F6AA79CE">
      <w:start w:val="1"/>
      <w:numFmt w:val="bullet"/>
      <w:lvlText w:val=""/>
      <w:lvlJc w:val="left"/>
      <w:pPr>
        <w:ind w:left="720" w:hanging="360"/>
      </w:pPr>
      <w:rPr>
        <w:rFonts w:ascii="Wingdings" w:hAnsi="Wingdings" w:hint="default"/>
        <w:color w:val="9933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6334B52"/>
    <w:multiLevelType w:val="hybridMultilevel"/>
    <w:tmpl w:val="7B107C06"/>
    <w:lvl w:ilvl="0" w:tplc="F6AA79CE">
      <w:start w:val="1"/>
      <w:numFmt w:val="bullet"/>
      <w:lvlText w:val=""/>
      <w:lvlJc w:val="left"/>
      <w:pPr>
        <w:tabs>
          <w:tab w:val="num" w:pos="644"/>
        </w:tabs>
        <w:ind w:left="644" w:hanging="284"/>
      </w:pPr>
      <w:rPr>
        <w:rFonts w:ascii="Wingdings" w:hAnsi="Wingdings" w:hint="default"/>
        <w:color w:val="9933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65DAB85C">
      <w:start w:val="13"/>
      <w:numFmt w:val="bullet"/>
      <w:lvlText w:val="-"/>
      <w:lvlJc w:val="left"/>
      <w:pPr>
        <w:tabs>
          <w:tab w:val="num" w:pos="2880"/>
        </w:tabs>
        <w:ind w:left="2880" w:hanging="360"/>
      </w:pPr>
      <w:rPr>
        <w:rFonts w:ascii="Times New Roman" w:eastAsia="Times New Roman" w:hAnsi="Times New Roman" w:cs="Times New Roman"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E555D4A"/>
    <w:multiLevelType w:val="hybridMultilevel"/>
    <w:tmpl w:val="84BC9780"/>
    <w:lvl w:ilvl="0" w:tplc="994439A2">
      <w:start w:val="1"/>
      <w:numFmt w:val="lowerRoman"/>
      <w:lvlText w:val="(%1)"/>
      <w:lvlJc w:val="left"/>
      <w:pPr>
        <w:ind w:left="1708" w:hanging="100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4">
    <w:nsid w:val="536761F7"/>
    <w:multiLevelType w:val="hybridMultilevel"/>
    <w:tmpl w:val="FA86A300"/>
    <w:lvl w:ilvl="0" w:tplc="040C0001">
      <w:start w:val="1"/>
      <w:numFmt w:val="bullet"/>
      <w:lvlText w:val=""/>
      <w:lvlJc w:val="left"/>
      <w:pPr>
        <w:tabs>
          <w:tab w:val="num" w:pos="720"/>
        </w:tabs>
        <w:ind w:left="720" w:hanging="360"/>
      </w:pPr>
      <w:rPr>
        <w:rFonts w:ascii="Symbol" w:hAnsi="Symbol" w:hint="default"/>
      </w:rPr>
    </w:lvl>
    <w:lvl w:ilvl="1" w:tplc="3BA6A6CE" w:tentative="1">
      <w:start w:val="1"/>
      <w:numFmt w:val="bullet"/>
      <w:lvlText w:val=""/>
      <w:lvlJc w:val="left"/>
      <w:pPr>
        <w:tabs>
          <w:tab w:val="num" w:pos="1440"/>
        </w:tabs>
        <w:ind w:left="1440" w:hanging="360"/>
      </w:pPr>
      <w:rPr>
        <w:rFonts w:ascii="Wingdings" w:hAnsi="Wingdings" w:hint="default"/>
      </w:rPr>
    </w:lvl>
    <w:lvl w:ilvl="2" w:tplc="C082E49E" w:tentative="1">
      <w:start w:val="1"/>
      <w:numFmt w:val="bullet"/>
      <w:lvlText w:val=""/>
      <w:lvlJc w:val="left"/>
      <w:pPr>
        <w:tabs>
          <w:tab w:val="num" w:pos="2160"/>
        </w:tabs>
        <w:ind w:left="2160" w:hanging="360"/>
      </w:pPr>
      <w:rPr>
        <w:rFonts w:ascii="Wingdings" w:hAnsi="Wingdings" w:hint="default"/>
      </w:rPr>
    </w:lvl>
    <w:lvl w:ilvl="3" w:tplc="2C5E8924" w:tentative="1">
      <w:start w:val="1"/>
      <w:numFmt w:val="bullet"/>
      <w:lvlText w:val=""/>
      <w:lvlJc w:val="left"/>
      <w:pPr>
        <w:tabs>
          <w:tab w:val="num" w:pos="2880"/>
        </w:tabs>
        <w:ind w:left="2880" w:hanging="360"/>
      </w:pPr>
      <w:rPr>
        <w:rFonts w:ascii="Wingdings" w:hAnsi="Wingdings" w:hint="default"/>
      </w:rPr>
    </w:lvl>
    <w:lvl w:ilvl="4" w:tplc="D2708FC8" w:tentative="1">
      <w:start w:val="1"/>
      <w:numFmt w:val="bullet"/>
      <w:lvlText w:val=""/>
      <w:lvlJc w:val="left"/>
      <w:pPr>
        <w:tabs>
          <w:tab w:val="num" w:pos="3600"/>
        </w:tabs>
        <w:ind w:left="3600" w:hanging="360"/>
      </w:pPr>
      <w:rPr>
        <w:rFonts w:ascii="Wingdings" w:hAnsi="Wingdings" w:hint="default"/>
      </w:rPr>
    </w:lvl>
    <w:lvl w:ilvl="5" w:tplc="6B5ABEE4" w:tentative="1">
      <w:start w:val="1"/>
      <w:numFmt w:val="bullet"/>
      <w:lvlText w:val=""/>
      <w:lvlJc w:val="left"/>
      <w:pPr>
        <w:tabs>
          <w:tab w:val="num" w:pos="4320"/>
        </w:tabs>
        <w:ind w:left="4320" w:hanging="360"/>
      </w:pPr>
      <w:rPr>
        <w:rFonts w:ascii="Wingdings" w:hAnsi="Wingdings" w:hint="default"/>
      </w:rPr>
    </w:lvl>
    <w:lvl w:ilvl="6" w:tplc="BB202C18" w:tentative="1">
      <w:start w:val="1"/>
      <w:numFmt w:val="bullet"/>
      <w:lvlText w:val=""/>
      <w:lvlJc w:val="left"/>
      <w:pPr>
        <w:tabs>
          <w:tab w:val="num" w:pos="5040"/>
        </w:tabs>
        <w:ind w:left="5040" w:hanging="360"/>
      </w:pPr>
      <w:rPr>
        <w:rFonts w:ascii="Wingdings" w:hAnsi="Wingdings" w:hint="default"/>
      </w:rPr>
    </w:lvl>
    <w:lvl w:ilvl="7" w:tplc="E5BAB38A" w:tentative="1">
      <w:start w:val="1"/>
      <w:numFmt w:val="bullet"/>
      <w:lvlText w:val=""/>
      <w:lvlJc w:val="left"/>
      <w:pPr>
        <w:tabs>
          <w:tab w:val="num" w:pos="5760"/>
        </w:tabs>
        <w:ind w:left="5760" w:hanging="360"/>
      </w:pPr>
      <w:rPr>
        <w:rFonts w:ascii="Wingdings" w:hAnsi="Wingdings" w:hint="default"/>
      </w:rPr>
    </w:lvl>
    <w:lvl w:ilvl="8" w:tplc="21C6103E" w:tentative="1">
      <w:start w:val="1"/>
      <w:numFmt w:val="bullet"/>
      <w:lvlText w:val=""/>
      <w:lvlJc w:val="left"/>
      <w:pPr>
        <w:tabs>
          <w:tab w:val="num" w:pos="6480"/>
        </w:tabs>
        <w:ind w:left="6480" w:hanging="360"/>
      </w:pPr>
      <w:rPr>
        <w:rFonts w:ascii="Wingdings" w:hAnsi="Wingdings" w:hint="default"/>
      </w:rPr>
    </w:lvl>
  </w:abstractNum>
  <w:abstractNum w:abstractNumId="25">
    <w:nsid w:val="58F60D85"/>
    <w:multiLevelType w:val="hybridMultilevel"/>
    <w:tmpl w:val="A25ABF26"/>
    <w:lvl w:ilvl="0" w:tplc="F6AA79CE">
      <w:start w:val="1"/>
      <w:numFmt w:val="bullet"/>
      <w:lvlText w:val=""/>
      <w:lvlJc w:val="left"/>
      <w:pPr>
        <w:ind w:left="720" w:hanging="360"/>
      </w:pPr>
      <w:rPr>
        <w:rFonts w:ascii="Wingdings" w:hAnsi="Wingdings" w:hint="default"/>
        <w:color w:val="9933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BAC1A5D"/>
    <w:multiLevelType w:val="hybridMultilevel"/>
    <w:tmpl w:val="CEEA793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BEC3CE5"/>
    <w:multiLevelType w:val="hybridMultilevel"/>
    <w:tmpl w:val="B85E8342"/>
    <w:lvl w:ilvl="0" w:tplc="F6AA79CE">
      <w:start w:val="1"/>
      <w:numFmt w:val="bullet"/>
      <w:lvlText w:val=""/>
      <w:lvlJc w:val="left"/>
      <w:pPr>
        <w:ind w:left="1068" w:hanging="360"/>
      </w:pPr>
      <w:rPr>
        <w:rFonts w:ascii="Wingdings" w:hAnsi="Wingdings" w:hint="default"/>
        <w:color w:val="99330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nsid w:val="5DBC3ED7"/>
    <w:multiLevelType w:val="hybridMultilevel"/>
    <w:tmpl w:val="D44E72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3590A56"/>
    <w:multiLevelType w:val="hybridMultilevel"/>
    <w:tmpl w:val="8682AE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52450BC"/>
    <w:multiLevelType w:val="hybridMultilevel"/>
    <w:tmpl w:val="220EF51A"/>
    <w:lvl w:ilvl="0" w:tplc="32D0AD38">
      <w:start w:val="12"/>
      <w:numFmt w:val="bullet"/>
      <w:lvlText w:val="-"/>
      <w:lvlJc w:val="left"/>
      <w:pPr>
        <w:ind w:left="2880" w:hanging="360"/>
      </w:pPr>
      <w:rPr>
        <w:rFonts w:ascii="Arial Narrow" w:eastAsia="Times New Roman" w:hAnsi="Arial Narrow" w:cs="Times New Roman"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31">
    <w:nsid w:val="6BDA5BBC"/>
    <w:multiLevelType w:val="hybridMultilevel"/>
    <w:tmpl w:val="09160A4E"/>
    <w:lvl w:ilvl="0" w:tplc="9A1A4EF6">
      <w:start w:val="1"/>
      <w:numFmt w:val="bullet"/>
      <w:lvlText w:val="►"/>
      <w:lvlJc w:val="left"/>
      <w:pPr>
        <w:tabs>
          <w:tab w:val="num" w:pos="720"/>
        </w:tabs>
        <w:ind w:left="720" w:hanging="360"/>
      </w:pPr>
      <w:rPr>
        <w:rFonts w:ascii="Arial" w:hAnsi="Arial" w:hint="default"/>
      </w:rPr>
    </w:lvl>
    <w:lvl w:ilvl="1" w:tplc="C2E8BE92" w:tentative="1">
      <w:start w:val="1"/>
      <w:numFmt w:val="bullet"/>
      <w:lvlText w:val="►"/>
      <w:lvlJc w:val="left"/>
      <w:pPr>
        <w:tabs>
          <w:tab w:val="num" w:pos="1440"/>
        </w:tabs>
        <w:ind w:left="1440" w:hanging="360"/>
      </w:pPr>
      <w:rPr>
        <w:rFonts w:ascii="Arial" w:hAnsi="Arial" w:hint="default"/>
      </w:rPr>
    </w:lvl>
    <w:lvl w:ilvl="2" w:tplc="69D209F6" w:tentative="1">
      <w:start w:val="1"/>
      <w:numFmt w:val="bullet"/>
      <w:lvlText w:val="►"/>
      <w:lvlJc w:val="left"/>
      <w:pPr>
        <w:tabs>
          <w:tab w:val="num" w:pos="2160"/>
        </w:tabs>
        <w:ind w:left="2160" w:hanging="360"/>
      </w:pPr>
      <w:rPr>
        <w:rFonts w:ascii="Arial" w:hAnsi="Arial" w:hint="default"/>
      </w:rPr>
    </w:lvl>
    <w:lvl w:ilvl="3" w:tplc="9154BD3C" w:tentative="1">
      <w:start w:val="1"/>
      <w:numFmt w:val="bullet"/>
      <w:lvlText w:val="►"/>
      <w:lvlJc w:val="left"/>
      <w:pPr>
        <w:tabs>
          <w:tab w:val="num" w:pos="2880"/>
        </w:tabs>
        <w:ind w:left="2880" w:hanging="360"/>
      </w:pPr>
      <w:rPr>
        <w:rFonts w:ascii="Arial" w:hAnsi="Arial" w:hint="default"/>
      </w:rPr>
    </w:lvl>
    <w:lvl w:ilvl="4" w:tplc="2D488E32" w:tentative="1">
      <w:start w:val="1"/>
      <w:numFmt w:val="bullet"/>
      <w:lvlText w:val="►"/>
      <w:lvlJc w:val="left"/>
      <w:pPr>
        <w:tabs>
          <w:tab w:val="num" w:pos="3600"/>
        </w:tabs>
        <w:ind w:left="3600" w:hanging="360"/>
      </w:pPr>
      <w:rPr>
        <w:rFonts w:ascii="Arial" w:hAnsi="Arial" w:hint="default"/>
      </w:rPr>
    </w:lvl>
    <w:lvl w:ilvl="5" w:tplc="A2F40C06" w:tentative="1">
      <w:start w:val="1"/>
      <w:numFmt w:val="bullet"/>
      <w:lvlText w:val="►"/>
      <w:lvlJc w:val="left"/>
      <w:pPr>
        <w:tabs>
          <w:tab w:val="num" w:pos="4320"/>
        </w:tabs>
        <w:ind w:left="4320" w:hanging="360"/>
      </w:pPr>
      <w:rPr>
        <w:rFonts w:ascii="Arial" w:hAnsi="Arial" w:hint="default"/>
      </w:rPr>
    </w:lvl>
    <w:lvl w:ilvl="6" w:tplc="C1348F82" w:tentative="1">
      <w:start w:val="1"/>
      <w:numFmt w:val="bullet"/>
      <w:lvlText w:val="►"/>
      <w:lvlJc w:val="left"/>
      <w:pPr>
        <w:tabs>
          <w:tab w:val="num" w:pos="5040"/>
        </w:tabs>
        <w:ind w:left="5040" w:hanging="360"/>
      </w:pPr>
      <w:rPr>
        <w:rFonts w:ascii="Arial" w:hAnsi="Arial" w:hint="default"/>
      </w:rPr>
    </w:lvl>
    <w:lvl w:ilvl="7" w:tplc="D3CE2BC6" w:tentative="1">
      <w:start w:val="1"/>
      <w:numFmt w:val="bullet"/>
      <w:lvlText w:val="►"/>
      <w:lvlJc w:val="left"/>
      <w:pPr>
        <w:tabs>
          <w:tab w:val="num" w:pos="5760"/>
        </w:tabs>
        <w:ind w:left="5760" w:hanging="360"/>
      </w:pPr>
      <w:rPr>
        <w:rFonts w:ascii="Arial" w:hAnsi="Arial" w:hint="default"/>
      </w:rPr>
    </w:lvl>
    <w:lvl w:ilvl="8" w:tplc="CBB46FC2" w:tentative="1">
      <w:start w:val="1"/>
      <w:numFmt w:val="bullet"/>
      <w:lvlText w:val="►"/>
      <w:lvlJc w:val="left"/>
      <w:pPr>
        <w:tabs>
          <w:tab w:val="num" w:pos="6480"/>
        </w:tabs>
        <w:ind w:left="6480" w:hanging="360"/>
      </w:pPr>
      <w:rPr>
        <w:rFonts w:ascii="Arial" w:hAnsi="Arial" w:hint="default"/>
      </w:rPr>
    </w:lvl>
  </w:abstractNum>
  <w:abstractNum w:abstractNumId="32">
    <w:nsid w:val="75713417"/>
    <w:multiLevelType w:val="hybridMultilevel"/>
    <w:tmpl w:val="16C26EC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5E22FCA"/>
    <w:multiLevelType w:val="hybridMultilevel"/>
    <w:tmpl w:val="247E5B8C"/>
    <w:lvl w:ilvl="0" w:tplc="BAE434F0">
      <w:start w:val="37"/>
      <w:numFmt w:val="bullet"/>
      <w:lvlText w:val="-"/>
      <w:lvlJc w:val="left"/>
      <w:pPr>
        <w:ind w:left="3195" w:hanging="360"/>
      </w:pPr>
      <w:rPr>
        <w:rFonts w:ascii="Times New Roman" w:eastAsia="Times New Roman" w:hAnsi="Times New Roman" w:cs="Times New Roman" w:hint="default"/>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34">
    <w:nsid w:val="782916CA"/>
    <w:multiLevelType w:val="hybridMultilevel"/>
    <w:tmpl w:val="6E729CA6"/>
    <w:lvl w:ilvl="0" w:tplc="35EA9D84">
      <w:start w:val="1"/>
      <w:numFmt w:val="decimal"/>
      <w:lvlText w:val="%1."/>
      <w:lvlJc w:val="left"/>
      <w:pPr>
        <w:ind w:left="750" w:hanging="39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8D0152E"/>
    <w:multiLevelType w:val="multilevel"/>
    <w:tmpl w:val="28E09D32"/>
    <w:lvl w:ilvl="0">
      <w:start w:val="1"/>
      <w:numFmt w:val="bullet"/>
      <w:lvlText w:val="o"/>
      <w:lvlJc w:val="left"/>
      <w:pPr>
        <w:ind w:left="1288" w:hanging="360"/>
      </w:pPr>
      <w:rPr>
        <w:rFonts w:ascii="Courier New" w:hAnsi="Courier New" w:cs="Courier New" w:hint="default"/>
      </w:rPr>
    </w:lvl>
    <w:lvl w:ilvl="1">
      <w:start w:val="1"/>
      <w:numFmt w:val="bullet"/>
      <w:lvlText w:val="o"/>
      <w:lvlJc w:val="left"/>
      <w:pPr>
        <w:ind w:left="2008" w:hanging="360"/>
      </w:pPr>
      <w:rPr>
        <w:rFonts w:ascii="Courier New" w:hAnsi="Courier New" w:cs="Courier New" w:hint="default"/>
      </w:rPr>
    </w:lvl>
    <w:lvl w:ilvl="2">
      <w:start w:val="1"/>
      <w:numFmt w:val="bullet"/>
      <w:lvlText w:val=""/>
      <w:lvlJc w:val="left"/>
      <w:pPr>
        <w:ind w:left="2728" w:hanging="360"/>
      </w:pPr>
      <w:rPr>
        <w:rFonts w:ascii="Wingdings" w:hAnsi="Wingdings" w:hint="default"/>
      </w:rPr>
    </w:lvl>
    <w:lvl w:ilvl="3">
      <w:start w:val="1"/>
      <w:numFmt w:val="bullet"/>
      <w:lvlText w:val=""/>
      <w:lvlJc w:val="left"/>
      <w:pPr>
        <w:ind w:left="3448" w:hanging="360"/>
      </w:pPr>
      <w:rPr>
        <w:rFonts w:ascii="Symbol" w:hAnsi="Symbol" w:hint="default"/>
      </w:rPr>
    </w:lvl>
    <w:lvl w:ilvl="4">
      <w:start w:val="1"/>
      <w:numFmt w:val="bullet"/>
      <w:lvlText w:val="o"/>
      <w:lvlJc w:val="left"/>
      <w:pPr>
        <w:ind w:left="4168" w:hanging="360"/>
      </w:pPr>
      <w:rPr>
        <w:rFonts w:ascii="Courier New" w:hAnsi="Courier New" w:cs="Courier New" w:hint="default"/>
      </w:rPr>
    </w:lvl>
    <w:lvl w:ilvl="5">
      <w:start w:val="1"/>
      <w:numFmt w:val="bullet"/>
      <w:lvlText w:val=""/>
      <w:lvlJc w:val="left"/>
      <w:pPr>
        <w:ind w:left="4888" w:hanging="360"/>
      </w:pPr>
      <w:rPr>
        <w:rFonts w:ascii="Wingdings" w:hAnsi="Wingdings" w:hint="default"/>
      </w:rPr>
    </w:lvl>
    <w:lvl w:ilvl="6">
      <w:start w:val="1"/>
      <w:numFmt w:val="bullet"/>
      <w:lvlText w:val=""/>
      <w:lvlJc w:val="left"/>
      <w:pPr>
        <w:ind w:left="5608" w:hanging="360"/>
      </w:pPr>
      <w:rPr>
        <w:rFonts w:ascii="Symbol" w:hAnsi="Symbol" w:hint="default"/>
      </w:rPr>
    </w:lvl>
    <w:lvl w:ilvl="7">
      <w:start w:val="1"/>
      <w:numFmt w:val="bullet"/>
      <w:lvlText w:val="o"/>
      <w:lvlJc w:val="left"/>
      <w:pPr>
        <w:ind w:left="6328" w:hanging="360"/>
      </w:pPr>
      <w:rPr>
        <w:rFonts w:ascii="Courier New" w:hAnsi="Courier New" w:cs="Courier New" w:hint="default"/>
      </w:rPr>
    </w:lvl>
    <w:lvl w:ilvl="8">
      <w:start w:val="1"/>
      <w:numFmt w:val="bullet"/>
      <w:lvlText w:val=""/>
      <w:lvlJc w:val="left"/>
      <w:pPr>
        <w:ind w:left="7048" w:hanging="360"/>
      </w:pPr>
      <w:rPr>
        <w:rFonts w:ascii="Wingdings" w:hAnsi="Wingdings" w:hint="default"/>
      </w:rPr>
    </w:lvl>
  </w:abstractNum>
  <w:abstractNum w:abstractNumId="36">
    <w:nsid w:val="7C50608A"/>
    <w:multiLevelType w:val="hybridMultilevel"/>
    <w:tmpl w:val="2D882D8E"/>
    <w:lvl w:ilvl="0" w:tplc="CEA05AD6">
      <w:start w:val="1"/>
      <w:numFmt w:val="decimal"/>
      <w:lvlText w:val="%1."/>
      <w:lvlJc w:val="left"/>
      <w:pPr>
        <w:ind w:left="1068" w:hanging="360"/>
      </w:pPr>
      <w:rPr>
        <w:rFonts w:ascii="Cambria" w:hAnsi="Cambria"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7">
    <w:nsid w:val="7E0E39E5"/>
    <w:multiLevelType w:val="hybridMultilevel"/>
    <w:tmpl w:val="89DAFED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FE54F4B"/>
    <w:multiLevelType w:val="hybridMultilevel"/>
    <w:tmpl w:val="66DEBB8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10"/>
  </w:num>
  <w:num w:numId="3">
    <w:abstractNumId w:val="21"/>
  </w:num>
  <w:num w:numId="4">
    <w:abstractNumId w:val="20"/>
  </w:num>
  <w:num w:numId="5">
    <w:abstractNumId w:val="25"/>
  </w:num>
  <w:num w:numId="6">
    <w:abstractNumId w:val="19"/>
  </w:num>
  <w:num w:numId="7">
    <w:abstractNumId w:val="27"/>
  </w:num>
  <w:num w:numId="8">
    <w:abstractNumId w:val="6"/>
  </w:num>
  <w:num w:numId="9">
    <w:abstractNumId w:val="18"/>
  </w:num>
  <w:num w:numId="10">
    <w:abstractNumId w:val="12"/>
  </w:num>
  <w:num w:numId="11">
    <w:abstractNumId w:val="30"/>
  </w:num>
  <w:num w:numId="12">
    <w:abstractNumId w:val="33"/>
  </w:num>
  <w:num w:numId="13">
    <w:abstractNumId w:val="35"/>
  </w:num>
  <w:num w:numId="14">
    <w:abstractNumId w:val="34"/>
  </w:num>
  <w:num w:numId="15">
    <w:abstractNumId w:val="28"/>
  </w:num>
  <w:num w:numId="16">
    <w:abstractNumId w:val="32"/>
  </w:num>
  <w:num w:numId="17">
    <w:abstractNumId w:val="37"/>
  </w:num>
  <w:num w:numId="18">
    <w:abstractNumId w:val="26"/>
  </w:num>
  <w:num w:numId="19">
    <w:abstractNumId w:val="29"/>
  </w:num>
  <w:num w:numId="20">
    <w:abstractNumId w:val="1"/>
  </w:num>
  <w:num w:numId="21">
    <w:abstractNumId w:val="8"/>
  </w:num>
  <w:num w:numId="22">
    <w:abstractNumId w:val="36"/>
  </w:num>
  <w:num w:numId="23">
    <w:abstractNumId w:val="5"/>
  </w:num>
  <w:num w:numId="24">
    <w:abstractNumId w:val="38"/>
  </w:num>
  <w:num w:numId="25">
    <w:abstractNumId w:val="16"/>
  </w:num>
  <w:num w:numId="26">
    <w:abstractNumId w:val="4"/>
  </w:num>
  <w:num w:numId="27">
    <w:abstractNumId w:val="3"/>
  </w:num>
  <w:num w:numId="28">
    <w:abstractNumId w:val="31"/>
  </w:num>
  <w:num w:numId="29">
    <w:abstractNumId w:val="17"/>
  </w:num>
  <w:num w:numId="30">
    <w:abstractNumId w:val="24"/>
  </w:num>
  <w:num w:numId="31">
    <w:abstractNumId w:val="13"/>
  </w:num>
  <w:num w:numId="32">
    <w:abstractNumId w:val="9"/>
  </w:num>
  <w:num w:numId="33">
    <w:abstractNumId w:val="2"/>
  </w:num>
  <w:num w:numId="34">
    <w:abstractNumId w:val="15"/>
  </w:num>
  <w:num w:numId="35">
    <w:abstractNumId w:val="0"/>
  </w:num>
  <w:num w:numId="36">
    <w:abstractNumId w:val="23"/>
  </w:num>
  <w:num w:numId="37">
    <w:abstractNumId w:val="7"/>
  </w:num>
  <w:num w:numId="38">
    <w:abstractNumId w:val="14"/>
  </w:num>
  <w:num w:numId="39">
    <w:abstractNumId w:val="1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noPunctuationKerning/>
  <w:characterSpacingControl w:val="doNotCompress"/>
  <w:hdrShapeDefaults>
    <o:shapedefaults v:ext="edit" spidmax="11266">
      <o:colormru v:ext="edit" colors="#c60"/>
      <o:colormenu v:ext="edit" fillcolor="none [1305]" strokecolor="#c60"/>
    </o:shapedefaults>
    <o:shapelayout v:ext="edit">
      <o:idmap v:ext="edit" data="2"/>
      <o:rules v:ext="edit">
        <o:r id="V:Rule3" type="connector" idref="#_x0000_s2060"/>
        <o:r id="V:Rule4" type="connector" idref="#_x0000_s2068"/>
      </o:rules>
    </o:shapelayout>
  </w:hdrShapeDefaults>
  <w:footnotePr>
    <w:footnote w:id="-1"/>
    <w:footnote w:id="0"/>
  </w:footnotePr>
  <w:endnotePr>
    <w:endnote w:id="-1"/>
    <w:endnote w:id="0"/>
  </w:endnotePr>
  <w:compat>
    <w:applyBreakingRules/>
  </w:compat>
  <w:rsids>
    <w:rsidRoot w:val="0014034D"/>
    <w:rsid w:val="000003CE"/>
    <w:rsid w:val="00000FDB"/>
    <w:rsid w:val="00006018"/>
    <w:rsid w:val="00010E4A"/>
    <w:rsid w:val="00016C23"/>
    <w:rsid w:val="00020B0F"/>
    <w:rsid w:val="00020E66"/>
    <w:rsid w:val="00021CF6"/>
    <w:rsid w:val="00021FA2"/>
    <w:rsid w:val="0002534C"/>
    <w:rsid w:val="00026A35"/>
    <w:rsid w:val="00031AD7"/>
    <w:rsid w:val="00033C3F"/>
    <w:rsid w:val="000341EB"/>
    <w:rsid w:val="00035468"/>
    <w:rsid w:val="0003567F"/>
    <w:rsid w:val="000412BA"/>
    <w:rsid w:val="00042653"/>
    <w:rsid w:val="00042EF1"/>
    <w:rsid w:val="00043CDC"/>
    <w:rsid w:val="0004688D"/>
    <w:rsid w:val="00046AC0"/>
    <w:rsid w:val="00050D56"/>
    <w:rsid w:val="0005325C"/>
    <w:rsid w:val="00053CA7"/>
    <w:rsid w:val="00055814"/>
    <w:rsid w:val="00056184"/>
    <w:rsid w:val="000575E0"/>
    <w:rsid w:val="000624F8"/>
    <w:rsid w:val="00063166"/>
    <w:rsid w:val="00063BBA"/>
    <w:rsid w:val="00064FB7"/>
    <w:rsid w:val="00065EB7"/>
    <w:rsid w:val="0006757C"/>
    <w:rsid w:val="00067EB3"/>
    <w:rsid w:val="00070268"/>
    <w:rsid w:val="00070537"/>
    <w:rsid w:val="000716BD"/>
    <w:rsid w:val="00071826"/>
    <w:rsid w:val="000756A0"/>
    <w:rsid w:val="00077076"/>
    <w:rsid w:val="00077E03"/>
    <w:rsid w:val="00080CE8"/>
    <w:rsid w:val="000912A9"/>
    <w:rsid w:val="0009162D"/>
    <w:rsid w:val="000A1974"/>
    <w:rsid w:val="000A1D22"/>
    <w:rsid w:val="000A3724"/>
    <w:rsid w:val="000A4FE1"/>
    <w:rsid w:val="000A5349"/>
    <w:rsid w:val="000A6188"/>
    <w:rsid w:val="000A74BF"/>
    <w:rsid w:val="000B03D6"/>
    <w:rsid w:val="000B2444"/>
    <w:rsid w:val="000B2A7B"/>
    <w:rsid w:val="000B344A"/>
    <w:rsid w:val="000B3C04"/>
    <w:rsid w:val="000B4C05"/>
    <w:rsid w:val="000B6125"/>
    <w:rsid w:val="000B622A"/>
    <w:rsid w:val="000B6E63"/>
    <w:rsid w:val="000B7493"/>
    <w:rsid w:val="000C01DA"/>
    <w:rsid w:val="000C0552"/>
    <w:rsid w:val="000C25FC"/>
    <w:rsid w:val="000C3C9E"/>
    <w:rsid w:val="000C72AB"/>
    <w:rsid w:val="000D29CA"/>
    <w:rsid w:val="000D3D61"/>
    <w:rsid w:val="000D53D1"/>
    <w:rsid w:val="000D637E"/>
    <w:rsid w:val="000D6397"/>
    <w:rsid w:val="000D74A1"/>
    <w:rsid w:val="000E49D3"/>
    <w:rsid w:val="000E6A37"/>
    <w:rsid w:val="000F164F"/>
    <w:rsid w:val="000F3BC9"/>
    <w:rsid w:val="000F78AD"/>
    <w:rsid w:val="001007B3"/>
    <w:rsid w:val="001029A5"/>
    <w:rsid w:val="00105DB3"/>
    <w:rsid w:val="0010613A"/>
    <w:rsid w:val="00106A0C"/>
    <w:rsid w:val="001072DD"/>
    <w:rsid w:val="00111A68"/>
    <w:rsid w:val="00112A0A"/>
    <w:rsid w:val="001159F2"/>
    <w:rsid w:val="001160ED"/>
    <w:rsid w:val="00116833"/>
    <w:rsid w:val="0012110B"/>
    <w:rsid w:val="00121682"/>
    <w:rsid w:val="00126A97"/>
    <w:rsid w:val="00132907"/>
    <w:rsid w:val="00133290"/>
    <w:rsid w:val="001349CA"/>
    <w:rsid w:val="00134B6E"/>
    <w:rsid w:val="0013617F"/>
    <w:rsid w:val="0014034D"/>
    <w:rsid w:val="00144125"/>
    <w:rsid w:val="00146B3C"/>
    <w:rsid w:val="00146C7A"/>
    <w:rsid w:val="001510B6"/>
    <w:rsid w:val="00151FCE"/>
    <w:rsid w:val="00157A7B"/>
    <w:rsid w:val="0016088D"/>
    <w:rsid w:val="00162088"/>
    <w:rsid w:val="0016241F"/>
    <w:rsid w:val="00162BC6"/>
    <w:rsid w:val="0016348B"/>
    <w:rsid w:val="001649ED"/>
    <w:rsid w:val="0016589A"/>
    <w:rsid w:val="0016766A"/>
    <w:rsid w:val="00171FFB"/>
    <w:rsid w:val="00174FC3"/>
    <w:rsid w:val="00180564"/>
    <w:rsid w:val="001827C7"/>
    <w:rsid w:val="00182AFF"/>
    <w:rsid w:val="00185770"/>
    <w:rsid w:val="00187945"/>
    <w:rsid w:val="0019318F"/>
    <w:rsid w:val="001943F8"/>
    <w:rsid w:val="00196097"/>
    <w:rsid w:val="001A44E5"/>
    <w:rsid w:val="001A503C"/>
    <w:rsid w:val="001A7C33"/>
    <w:rsid w:val="001B0C18"/>
    <w:rsid w:val="001B3487"/>
    <w:rsid w:val="001B7178"/>
    <w:rsid w:val="001C1498"/>
    <w:rsid w:val="001C2150"/>
    <w:rsid w:val="001C3C9D"/>
    <w:rsid w:val="001C5808"/>
    <w:rsid w:val="001C5930"/>
    <w:rsid w:val="001C5DAE"/>
    <w:rsid w:val="001C6E9E"/>
    <w:rsid w:val="001D5EDB"/>
    <w:rsid w:val="001D6C02"/>
    <w:rsid w:val="001D6D8A"/>
    <w:rsid w:val="001E110B"/>
    <w:rsid w:val="001E1D2D"/>
    <w:rsid w:val="001E2E65"/>
    <w:rsid w:val="001E5DF0"/>
    <w:rsid w:val="001E6A62"/>
    <w:rsid w:val="001E7957"/>
    <w:rsid w:val="001E7C3A"/>
    <w:rsid w:val="001F22F1"/>
    <w:rsid w:val="001F2F9C"/>
    <w:rsid w:val="001F3638"/>
    <w:rsid w:val="00201BE9"/>
    <w:rsid w:val="00201D81"/>
    <w:rsid w:val="00201EAE"/>
    <w:rsid w:val="002036F6"/>
    <w:rsid w:val="00203DB4"/>
    <w:rsid w:val="00204508"/>
    <w:rsid w:val="00204E30"/>
    <w:rsid w:val="0020583B"/>
    <w:rsid w:val="00207278"/>
    <w:rsid w:val="00207957"/>
    <w:rsid w:val="00213589"/>
    <w:rsid w:val="00214D32"/>
    <w:rsid w:val="0021735B"/>
    <w:rsid w:val="002176AB"/>
    <w:rsid w:val="00220584"/>
    <w:rsid w:val="00225322"/>
    <w:rsid w:val="002300A8"/>
    <w:rsid w:val="00230291"/>
    <w:rsid w:val="00232432"/>
    <w:rsid w:val="002330B8"/>
    <w:rsid w:val="0023376A"/>
    <w:rsid w:val="00233CF4"/>
    <w:rsid w:val="00233DC4"/>
    <w:rsid w:val="00237AD3"/>
    <w:rsid w:val="00242FF3"/>
    <w:rsid w:val="0024486D"/>
    <w:rsid w:val="002458D7"/>
    <w:rsid w:val="002472E1"/>
    <w:rsid w:val="002507B3"/>
    <w:rsid w:val="00255B3B"/>
    <w:rsid w:val="00261623"/>
    <w:rsid w:val="00264FD4"/>
    <w:rsid w:val="002707BA"/>
    <w:rsid w:val="002711B9"/>
    <w:rsid w:val="00272ADD"/>
    <w:rsid w:val="00273E90"/>
    <w:rsid w:val="00281245"/>
    <w:rsid w:val="00281579"/>
    <w:rsid w:val="00281E93"/>
    <w:rsid w:val="00282BD7"/>
    <w:rsid w:val="00285021"/>
    <w:rsid w:val="00285DF3"/>
    <w:rsid w:val="00287D2B"/>
    <w:rsid w:val="00294ED8"/>
    <w:rsid w:val="00294F00"/>
    <w:rsid w:val="0029550B"/>
    <w:rsid w:val="002A2AA0"/>
    <w:rsid w:val="002A405A"/>
    <w:rsid w:val="002A4882"/>
    <w:rsid w:val="002B3A3B"/>
    <w:rsid w:val="002B6946"/>
    <w:rsid w:val="002C0A97"/>
    <w:rsid w:val="002C1324"/>
    <w:rsid w:val="002C132A"/>
    <w:rsid w:val="002C2826"/>
    <w:rsid w:val="002C2F89"/>
    <w:rsid w:val="002C5600"/>
    <w:rsid w:val="002D059F"/>
    <w:rsid w:val="002D7350"/>
    <w:rsid w:val="002E4B9F"/>
    <w:rsid w:val="002E4F11"/>
    <w:rsid w:val="002E700F"/>
    <w:rsid w:val="002E77D9"/>
    <w:rsid w:val="003001BD"/>
    <w:rsid w:val="00303E91"/>
    <w:rsid w:val="003051AE"/>
    <w:rsid w:val="00306D41"/>
    <w:rsid w:val="00310C49"/>
    <w:rsid w:val="00311511"/>
    <w:rsid w:val="00315244"/>
    <w:rsid w:val="003175D1"/>
    <w:rsid w:val="00320527"/>
    <w:rsid w:val="00320B00"/>
    <w:rsid w:val="00323F5E"/>
    <w:rsid w:val="00325317"/>
    <w:rsid w:val="0032775D"/>
    <w:rsid w:val="00332E90"/>
    <w:rsid w:val="00333D7C"/>
    <w:rsid w:val="003341CE"/>
    <w:rsid w:val="00335C81"/>
    <w:rsid w:val="00337B8B"/>
    <w:rsid w:val="00337D8D"/>
    <w:rsid w:val="003402D3"/>
    <w:rsid w:val="00342EA0"/>
    <w:rsid w:val="00342FD7"/>
    <w:rsid w:val="00344D2A"/>
    <w:rsid w:val="0034752A"/>
    <w:rsid w:val="003551FA"/>
    <w:rsid w:val="0035708F"/>
    <w:rsid w:val="00363A31"/>
    <w:rsid w:val="003725FD"/>
    <w:rsid w:val="00373489"/>
    <w:rsid w:val="003770BB"/>
    <w:rsid w:val="00380B9F"/>
    <w:rsid w:val="00382DEA"/>
    <w:rsid w:val="00383FDF"/>
    <w:rsid w:val="00385C11"/>
    <w:rsid w:val="0039009C"/>
    <w:rsid w:val="003904B5"/>
    <w:rsid w:val="00391BA9"/>
    <w:rsid w:val="00392F4A"/>
    <w:rsid w:val="003952A4"/>
    <w:rsid w:val="00396D7E"/>
    <w:rsid w:val="003A35BD"/>
    <w:rsid w:val="003A59B8"/>
    <w:rsid w:val="003B716F"/>
    <w:rsid w:val="003B7330"/>
    <w:rsid w:val="003C577B"/>
    <w:rsid w:val="003C5812"/>
    <w:rsid w:val="003C7BCD"/>
    <w:rsid w:val="003D49EB"/>
    <w:rsid w:val="003E131F"/>
    <w:rsid w:val="003E2BBF"/>
    <w:rsid w:val="003E3927"/>
    <w:rsid w:val="003E4194"/>
    <w:rsid w:val="003E6EC3"/>
    <w:rsid w:val="003F0EEC"/>
    <w:rsid w:val="003F145E"/>
    <w:rsid w:val="003F2A7D"/>
    <w:rsid w:val="003F40B7"/>
    <w:rsid w:val="003F516D"/>
    <w:rsid w:val="003F6376"/>
    <w:rsid w:val="004047E3"/>
    <w:rsid w:val="00404BF3"/>
    <w:rsid w:val="00407218"/>
    <w:rsid w:val="004074AE"/>
    <w:rsid w:val="00407A6D"/>
    <w:rsid w:val="00407DBB"/>
    <w:rsid w:val="004105AA"/>
    <w:rsid w:val="0041461C"/>
    <w:rsid w:val="00415AF6"/>
    <w:rsid w:val="00415DC1"/>
    <w:rsid w:val="00415E11"/>
    <w:rsid w:val="00417805"/>
    <w:rsid w:val="00417EDC"/>
    <w:rsid w:val="00422183"/>
    <w:rsid w:val="0042265D"/>
    <w:rsid w:val="00423DE4"/>
    <w:rsid w:val="00425A2D"/>
    <w:rsid w:val="004311A9"/>
    <w:rsid w:val="0044168F"/>
    <w:rsid w:val="00441F95"/>
    <w:rsid w:val="00443F42"/>
    <w:rsid w:val="0044626B"/>
    <w:rsid w:val="00446539"/>
    <w:rsid w:val="00447FB3"/>
    <w:rsid w:val="004520FA"/>
    <w:rsid w:val="0045393E"/>
    <w:rsid w:val="00453C1C"/>
    <w:rsid w:val="00456076"/>
    <w:rsid w:val="00462288"/>
    <w:rsid w:val="00463CD4"/>
    <w:rsid w:val="0046410E"/>
    <w:rsid w:val="00473A21"/>
    <w:rsid w:val="0048099B"/>
    <w:rsid w:val="00482E91"/>
    <w:rsid w:val="004831DA"/>
    <w:rsid w:val="0048595F"/>
    <w:rsid w:val="004865E4"/>
    <w:rsid w:val="004868EC"/>
    <w:rsid w:val="00491C1C"/>
    <w:rsid w:val="00491C7B"/>
    <w:rsid w:val="00493DBD"/>
    <w:rsid w:val="0049603B"/>
    <w:rsid w:val="00497C20"/>
    <w:rsid w:val="004A0CB7"/>
    <w:rsid w:val="004A12CF"/>
    <w:rsid w:val="004A1F36"/>
    <w:rsid w:val="004B0629"/>
    <w:rsid w:val="004B3232"/>
    <w:rsid w:val="004B375D"/>
    <w:rsid w:val="004B3CA4"/>
    <w:rsid w:val="004B4AFC"/>
    <w:rsid w:val="004C281F"/>
    <w:rsid w:val="004C2DDF"/>
    <w:rsid w:val="004C311F"/>
    <w:rsid w:val="004C4A98"/>
    <w:rsid w:val="004C521E"/>
    <w:rsid w:val="004C61AC"/>
    <w:rsid w:val="004D5D4D"/>
    <w:rsid w:val="004D68B5"/>
    <w:rsid w:val="004E0E1F"/>
    <w:rsid w:val="004E0FAD"/>
    <w:rsid w:val="004E1846"/>
    <w:rsid w:val="004E3397"/>
    <w:rsid w:val="004E3988"/>
    <w:rsid w:val="004E3A9E"/>
    <w:rsid w:val="004E3F7B"/>
    <w:rsid w:val="004E4196"/>
    <w:rsid w:val="004E6302"/>
    <w:rsid w:val="004F5D38"/>
    <w:rsid w:val="004F6E6E"/>
    <w:rsid w:val="004F75E3"/>
    <w:rsid w:val="004F7A6B"/>
    <w:rsid w:val="005002F9"/>
    <w:rsid w:val="00504B27"/>
    <w:rsid w:val="00507121"/>
    <w:rsid w:val="00511A17"/>
    <w:rsid w:val="0051227B"/>
    <w:rsid w:val="00512D03"/>
    <w:rsid w:val="00512FE2"/>
    <w:rsid w:val="00513D5B"/>
    <w:rsid w:val="005149EF"/>
    <w:rsid w:val="00514A9B"/>
    <w:rsid w:val="00515E0C"/>
    <w:rsid w:val="0052074E"/>
    <w:rsid w:val="00521889"/>
    <w:rsid w:val="005249F2"/>
    <w:rsid w:val="0052686E"/>
    <w:rsid w:val="005303E0"/>
    <w:rsid w:val="00536117"/>
    <w:rsid w:val="0053792A"/>
    <w:rsid w:val="005408E3"/>
    <w:rsid w:val="00540978"/>
    <w:rsid w:val="00544515"/>
    <w:rsid w:val="005450E2"/>
    <w:rsid w:val="00545B3A"/>
    <w:rsid w:val="00545B9F"/>
    <w:rsid w:val="00545C8A"/>
    <w:rsid w:val="00546848"/>
    <w:rsid w:val="00551D38"/>
    <w:rsid w:val="00551DB7"/>
    <w:rsid w:val="00555630"/>
    <w:rsid w:val="00557D80"/>
    <w:rsid w:val="00563161"/>
    <w:rsid w:val="00565B0D"/>
    <w:rsid w:val="00565C08"/>
    <w:rsid w:val="005669A5"/>
    <w:rsid w:val="00570718"/>
    <w:rsid w:val="00571087"/>
    <w:rsid w:val="0057300F"/>
    <w:rsid w:val="00573B37"/>
    <w:rsid w:val="00575BF7"/>
    <w:rsid w:val="00577968"/>
    <w:rsid w:val="0058237A"/>
    <w:rsid w:val="00583960"/>
    <w:rsid w:val="00584579"/>
    <w:rsid w:val="00584EDE"/>
    <w:rsid w:val="00586AB5"/>
    <w:rsid w:val="00587974"/>
    <w:rsid w:val="0059358D"/>
    <w:rsid w:val="0059574B"/>
    <w:rsid w:val="005A140B"/>
    <w:rsid w:val="005A37A7"/>
    <w:rsid w:val="005A4000"/>
    <w:rsid w:val="005A4AFA"/>
    <w:rsid w:val="005A50A4"/>
    <w:rsid w:val="005B010D"/>
    <w:rsid w:val="005B2070"/>
    <w:rsid w:val="005C1168"/>
    <w:rsid w:val="005C2651"/>
    <w:rsid w:val="005C3FC8"/>
    <w:rsid w:val="005C5B61"/>
    <w:rsid w:val="005C5D43"/>
    <w:rsid w:val="005D120E"/>
    <w:rsid w:val="005E6F45"/>
    <w:rsid w:val="005F111A"/>
    <w:rsid w:val="005F1422"/>
    <w:rsid w:val="005F1766"/>
    <w:rsid w:val="005F3784"/>
    <w:rsid w:val="005F4151"/>
    <w:rsid w:val="005F447C"/>
    <w:rsid w:val="005F4851"/>
    <w:rsid w:val="005F4A5F"/>
    <w:rsid w:val="00600810"/>
    <w:rsid w:val="00602A9F"/>
    <w:rsid w:val="00605487"/>
    <w:rsid w:val="00607508"/>
    <w:rsid w:val="00611218"/>
    <w:rsid w:val="00612F6A"/>
    <w:rsid w:val="006151FC"/>
    <w:rsid w:val="00615746"/>
    <w:rsid w:val="00615970"/>
    <w:rsid w:val="00616431"/>
    <w:rsid w:val="00616F7D"/>
    <w:rsid w:val="006201F6"/>
    <w:rsid w:val="00620A89"/>
    <w:rsid w:val="00623A48"/>
    <w:rsid w:val="00625766"/>
    <w:rsid w:val="00625F81"/>
    <w:rsid w:val="00626125"/>
    <w:rsid w:val="006268A9"/>
    <w:rsid w:val="0063093E"/>
    <w:rsid w:val="00630C15"/>
    <w:rsid w:val="00632CAD"/>
    <w:rsid w:val="006361AE"/>
    <w:rsid w:val="00642C6E"/>
    <w:rsid w:val="00645B5E"/>
    <w:rsid w:val="006467BF"/>
    <w:rsid w:val="00646E70"/>
    <w:rsid w:val="006479AA"/>
    <w:rsid w:val="00650538"/>
    <w:rsid w:val="00651E4D"/>
    <w:rsid w:val="0065329C"/>
    <w:rsid w:val="006541EB"/>
    <w:rsid w:val="00655B4C"/>
    <w:rsid w:val="00656A0B"/>
    <w:rsid w:val="00661DF0"/>
    <w:rsid w:val="00662CF2"/>
    <w:rsid w:val="00663C73"/>
    <w:rsid w:val="0066528B"/>
    <w:rsid w:val="00666071"/>
    <w:rsid w:val="006702F9"/>
    <w:rsid w:val="00671CAB"/>
    <w:rsid w:val="00672786"/>
    <w:rsid w:val="00674BF9"/>
    <w:rsid w:val="00675ADA"/>
    <w:rsid w:val="00676702"/>
    <w:rsid w:val="00676863"/>
    <w:rsid w:val="00676B09"/>
    <w:rsid w:val="00680428"/>
    <w:rsid w:val="00686B61"/>
    <w:rsid w:val="00691E59"/>
    <w:rsid w:val="00694B08"/>
    <w:rsid w:val="00695395"/>
    <w:rsid w:val="006A0CE9"/>
    <w:rsid w:val="006A2F31"/>
    <w:rsid w:val="006A4316"/>
    <w:rsid w:val="006A461D"/>
    <w:rsid w:val="006A56B8"/>
    <w:rsid w:val="006A5AB4"/>
    <w:rsid w:val="006A747D"/>
    <w:rsid w:val="006A791D"/>
    <w:rsid w:val="006B0286"/>
    <w:rsid w:val="006B04B4"/>
    <w:rsid w:val="006B075D"/>
    <w:rsid w:val="006B1A59"/>
    <w:rsid w:val="006C2112"/>
    <w:rsid w:val="006C78B1"/>
    <w:rsid w:val="006D0554"/>
    <w:rsid w:val="006D5221"/>
    <w:rsid w:val="006D5E07"/>
    <w:rsid w:val="006D67FD"/>
    <w:rsid w:val="006E16C9"/>
    <w:rsid w:val="006E27ED"/>
    <w:rsid w:val="006E30CD"/>
    <w:rsid w:val="006E3743"/>
    <w:rsid w:val="006E53BC"/>
    <w:rsid w:val="006F0B7B"/>
    <w:rsid w:val="006F57E8"/>
    <w:rsid w:val="006F5AC3"/>
    <w:rsid w:val="006F6795"/>
    <w:rsid w:val="006F7A66"/>
    <w:rsid w:val="00702BE1"/>
    <w:rsid w:val="00703F54"/>
    <w:rsid w:val="007049C3"/>
    <w:rsid w:val="00705BE3"/>
    <w:rsid w:val="00705FA6"/>
    <w:rsid w:val="0070668F"/>
    <w:rsid w:val="00707748"/>
    <w:rsid w:val="00712AE2"/>
    <w:rsid w:val="0071466F"/>
    <w:rsid w:val="00716F0B"/>
    <w:rsid w:val="00722658"/>
    <w:rsid w:val="007252E8"/>
    <w:rsid w:val="007310BF"/>
    <w:rsid w:val="00731964"/>
    <w:rsid w:val="00733CA7"/>
    <w:rsid w:val="00734129"/>
    <w:rsid w:val="0073768F"/>
    <w:rsid w:val="00737F14"/>
    <w:rsid w:val="00743091"/>
    <w:rsid w:val="007454CA"/>
    <w:rsid w:val="007468CE"/>
    <w:rsid w:val="00750345"/>
    <w:rsid w:val="00752AC0"/>
    <w:rsid w:val="007533C1"/>
    <w:rsid w:val="00754FA6"/>
    <w:rsid w:val="007551C2"/>
    <w:rsid w:val="0075762B"/>
    <w:rsid w:val="00760B71"/>
    <w:rsid w:val="00763159"/>
    <w:rsid w:val="0076548C"/>
    <w:rsid w:val="0077064E"/>
    <w:rsid w:val="007714AC"/>
    <w:rsid w:val="0077190A"/>
    <w:rsid w:val="007744A2"/>
    <w:rsid w:val="00776417"/>
    <w:rsid w:val="00776B73"/>
    <w:rsid w:val="00776E88"/>
    <w:rsid w:val="00777047"/>
    <w:rsid w:val="0078071D"/>
    <w:rsid w:val="00780725"/>
    <w:rsid w:val="00780C1A"/>
    <w:rsid w:val="00780D62"/>
    <w:rsid w:val="0078125F"/>
    <w:rsid w:val="00786CD2"/>
    <w:rsid w:val="00794D71"/>
    <w:rsid w:val="0079548D"/>
    <w:rsid w:val="00796F8D"/>
    <w:rsid w:val="007A0462"/>
    <w:rsid w:val="007A19EA"/>
    <w:rsid w:val="007A43B8"/>
    <w:rsid w:val="007A4D40"/>
    <w:rsid w:val="007A4F71"/>
    <w:rsid w:val="007B07B6"/>
    <w:rsid w:val="007B1BF1"/>
    <w:rsid w:val="007B2FEC"/>
    <w:rsid w:val="007B3C03"/>
    <w:rsid w:val="007B443B"/>
    <w:rsid w:val="007C031B"/>
    <w:rsid w:val="007C084B"/>
    <w:rsid w:val="007C1183"/>
    <w:rsid w:val="007C2C94"/>
    <w:rsid w:val="007C404B"/>
    <w:rsid w:val="007C4C30"/>
    <w:rsid w:val="007C4E59"/>
    <w:rsid w:val="007C5E5D"/>
    <w:rsid w:val="007C66CF"/>
    <w:rsid w:val="007C6740"/>
    <w:rsid w:val="007C690C"/>
    <w:rsid w:val="007C7007"/>
    <w:rsid w:val="007D1E11"/>
    <w:rsid w:val="007D3E15"/>
    <w:rsid w:val="007D4510"/>
    <w:rsid w:val="007D5B94"/>
    <w:rsid w:val="007D7A5D"/>
    <w:rsid w:val="007E19B3"/>
    <w:rsid w:val="007E5CD5"/>
    <w:rsid w:val="007F5016"/>
    <w:rsid w:val="007F51B1"/>
    <w:rsid w:val="007F539B"/>
    <w:rsid w:val="007F5A37"/>
    <w:rsid w:val="00800629"/>
    <w:rsid w:val="00800C56"/>
    <w:rsid w:val="00801113"/>
    <w:rsid w:val="00801227"/>
    <w:rsid w:val="008019DF"/>
    <w:rsid w:val="008038D7"/>
    <w:rsid w:val="008150CA"/>
    <w:rsid w:val="00815119"/>
    <w:rsid w:val="00821A20"/>
    <w:rsid w:val="00821FAA"/>
    <w:rsid w:val="0082349F"/>
    <w:rsid w:val="00823E6A"/>
    <w:rsid w:val="00824320"/>
    <w:rsid w:val="008278FC"/>
    <w:rsid w:val="00827968"/>
    <w:rsid w:val="00827C26"/>
    <w:rsid w:val="008315C6"/>
    <w:rsid w:val="008349AE"/>
    <w:rsid w:val="00837C63"/>
    <w:rsid w:val="00840BE4"/>
    <w:rsid w:val="00841787"/>
    <w:rsid w:val="00841D3B"/>
    <w:rsid w:val="008426E8"/>
    <w:rsid w:val="00843173"/>
    <w:rsid w:val="0084562A"/>
    <w:rsid w:val="008460C5"/>
    <w:rsid w:val="00847903"/>
    <w:rsid w:val="00851378"/>
    <w:rsid w:val="00851C82"/>
    <w:rsid w:val="008628BA"/>
    <w:rsid w:val="00862F57"/>
    <w:rsid w:val="008645C6"/>
    <w:rsid w:val="00866C76"/>
    <w:rsid w:val="00872223"/>
    <w:rsid w:val="008740CE"/>
    <w:rsid w:val="008866AF"/>
    <w:rsid w:val="00892399"/>
    <w:rsid w:val="00892AA6"/>
    <w:rsid w:val="008945C6"/>
    <w:rsid w:val="00896BE0"/>
    <w:rsid w:val="00897643"/>
    <w:rsid w:val="00897B9F"/>
    <w:rsid w:val="008A3818"/>
    <w:rsid w:val="008A5E99"/>
    <w:rsid w:val="008A6A62"/>
    <w:rsid w:val="008A6E6B"/>
    <w:rsid w:val="008A7A59"/>
    <w:rsid w:val="008B1437"/>
    <w:rsid w:val="008B4C86"/>
    <w:rsid w:val="008B6B39"/>
    <w:rsid w:val="008B7309"/>
    <w:rsid w:val="008C0AC0"/>
    <w:rsid w:val="008C1CE0"/>
    <w:rsid w:val="008C3EF6"/>
    <w:rsid w:val="008C432D"/>
    <w:rsid w:val="008C5F7C"/>
    <w:rsid w:val="008D1971"/>
    <w:rsid w:val="008D3311"/>
    <w:rsid w:val="008D3C98"/>
    <w:rsid w:val="008D4279"/>
    <w:rsid w:val="008D515A"/>
    <w:rsid w:val="008D6767"/>
    <w:rsid w:val="008D7F5B"/>
    <w:rsid w:val="008E2E4B"/>
    <w:rsid w:val="008E6990"/>
    <w:rsid w:val="008E7434"/>
    <w:rsid w:val="008E7643"/>
    <w:rsid w:val="008F18BB"/>
    <w:rsid w:val="008F22AB"/>
    <w:rsid w:val="008F344A"/>
    <w:rsid w:val="008F35DB"/>
    <w:rsid w:val="008F50DA"/>
    <w:rsid w:val="00900547"/>
    <w:rsid w:val="00901DE8"/>
    <w:rsid w:val="00903C79"/>
    <w:rsid w:val="00905E95"/>
    <w:rsid w:val="00910DE3"/>
    <w:rsid w:val="00911311"/>
    <w:rsid w:val="009117E8"/>
    <w:rsid w:val="00911EA7"/>
    <w:rsid w:val="009125CB"/>
    <w:rsid w:val="0091539B"/>
    <w:rsid w:val="009155E3"/>
    <w:rsid w:val="00923A3E"/>
    <w:rsid w:val="00932360"/>
    <w:rsid w:val="00933696"/>
    <w:rsid w:val="009366D1"/>
    <w:rsid w:val="009407BA"/>
    <w:rsid w:val="0094171C"/>
    <w:rsid w:val="00941D3C"/>
    <w:rsid w:val="00942DA8"/>
    <w:rsid w:val="00943B7A"/>
    <w:rsid w:val="00945395"/>
    <w:rsid w:val="009525E8"/>
    <w:rsid w:val="00953D91"/>
    <w:rsid w:val="00954D26"/>
    <w:rsid w:val="00955185"/>
    <w:rsid w:val="0095572C"/>
    <w:rsid w:val="00955CEB"/>
    <w:rsid w:val="009604F5"/>
    <w:rsid w:val="00972B17"/>
    <w:rsid w:val="00976100"/>
    <w:rsid w:val="00981E9C"/>
    <w:rsid w:val="00982E56"/>
    <w:rsid w:val="0098495E"/>
    <w:rsid w:val="009855FF"/>
    <w:rsid w:val="00986DF5"/>
    <w:rsid w:val="00986E27"/>
    <w:rsid w:val="009872AE"/>
    <w:rsid w:val="00987502"/>
    <w:rsid w:val="00992174"/>
    <w:rsid w:val="00992F3B"/>
    <w:rsid w:val="00993495"/>
    <w:rsid w:val="0099444C"/>
    <w:rsid w:val="0099453F"/>
    <w:rsid w:val="009947CF"/>
    <w:rsid w:val="00995C2B"/>
    <w:rsid w:val="009A0A07"/>
    <w:rsid w:val="009A55ED"/>
    <w:rsid w:val="009A65ED"/>
    <w:rsid w:val="009A7D50"/>
    <w:rsid w:val="009B667F"/>
    <w:rsid w:val="009B7307"/>
    <w:rsid w:val="009B7B81"/>
    <w:rsid w:val="009C4144"/>
    <w:rsid w:val="009C4C16"/>
    <w:rsid w:val="009C7DC2"/>
    <w:rsid w:val="009D2259"/>
    <w:rsid w:val="009D35A2"/>
    <w:rsid w:val="009D4C2D"/>
    <w:rsid w:val="009D572E"/>
    <w:rsid w:val="009D60E7"/>
    <w:rsid w:val="009D6666"/>
    <w:rsid w:val="009D6C1C"/>
    <w:rsid w:val="009E13FD"/>
    <w:rsid w:val="009E4B29"/>
    <w:rsid w:val="009E513F"/>
    <w:rsid w:val="009E747F"/>
    <w:rsid w:val="009F00DC"/>
    <w:rsid w:val="009F0B93"/>
    <w:rsid w:val="009F2DF5"/>
    <w:rsid w:val="009F6090"/>
    <w:rsid w:val="009F7D3D"/>
    <w:rsid w:val="00A02EC6"/>
    <w:rsid w:val="00A03E50"/>
    <w:rsid w:val="00A046D4"/>
    <w:rsid w:val="00A04759"/>
    <w:rsid w:val="00A04B92"/>
    <w:rsid w:val="00A06803"/>
    <w:rsid w:val="00A11A67"/>
    <w:rsid w:val="00A14468"/>
    <w:rsid w:val="00A15B50"/>
    <w:rsid w:val="00A20CAA"/>
    <w:rsid w:val="00A23425"/>
    <w:rsid w:val="00A2633D"/>
    <w:rsid w:val="00A27037"/>
    <w:rsid w:val="00A336A9"/>
    <w:rsid w:val="00A3499B"/>
    <w:rsid w:val="00A349A5"/>
    <w:rsid w:val="00A36B60"/>
    <w:rsid w:val="00A404EC"/>
    <w:rsid w:val="00A4057C"/>
    <w:rsid w:val="00A43211"/>
    <w:rsid w:val="00A45336"/>
    <w:rsid w:val="00A461FA"/>
    <w:rsid w:val="00A503FC"/>
    <w:rsid w:val="00A536D2"/>
    <w:rsid w:val="00A53B26"/>
    <w:rsid w:val="00A574E7"/>
    <w:rsid w:val="00A641A6"/>
    <w:rsid w:val="00A659B1"/>
    <w:rsid w:val="00A7055A"/>
    <w:rsid w:val="00A714A3"/>
    <w:rsid w:val="00A72894"/>
    <w:rsid w:val="00A72BE3"/>
    <w:rsid w:val="00A72D60"/>
    <w:rsid w:val="00A73622"/>
    <w:rsid w:val="00A74D97"/>
    <w:rsid w:val="00A75212"/>
    <w:rsid w:val="00A7568C"/>
    <w:rsid w:val="00A757AB"/>
    <w:rsid w:val="00A760DB"/>
    <w:rsid w:val="00A76287"/>
    <w:rsid w:val="00A8216E"/>
    <w:rsid w:val="00A8262D"/>
    <w:rsid w:val="00A828A4"/>
    <w:rsid w:val="00A84857"/>
    <w:rsid w:val="00A8680E"/>
    <w:rsid w:val="00A91846"/>
    <w:rsid w:val="00A92FF5"/>
    <w:rsid w:val="00A94382"/>
    <w:rsid w:val="00A96624"/>
    <w:rsid w:val="00AA0DFC"/>
    <w:rsid w:val="00AB148F"/>
    <w:rsid w:val="00AB33EA"/>
    <w:rsid w:val="00AB4CFB"/>
    <w:rsid w:val="00AC2A00"/>
    <w:rsid w:val="00AC2CA5"/>
    <w:rsid w:val="00AC456F"/>
    <w:rsid w:val="00AD23B1"/>
    <w:rsid w:val="00AD4CB8"/>
    <w:rsid w:val="00AD5534"/>
    <w:rsid w:val="00AD5CB1"/>
    <w:rsid w:val="00AD6918"/>
    <w:rsid w:val="00AE0BDC"/>
    <w:rsid w:val="00AE403D"/>
    <w:rsid w:val="00AE6A15"/>
    <w:rsid w:val="00AE75FE"/>
    <w:rsid w:val="00AE7E7E"/>
    <w:rsid w:val="00AF5261"/>
    <w:rsid w:val="00AF67D3"/>
    <w:rsid w:val="00B013A8"/>
    <w:rsid w:val="00B10014"/>
    <w:rsid w:val="00B1068D"/>
    <w:rsid w:val="00B113FF"/>
    <w:rsid w:val="00B13ECD"/>
    <w:rsid w:val="00B14724"/>
    <w:rsid w:val="00B147BE"/>
    <w:rsid w:val="00B16A79"/>
    <w:rsid w:val="00B17019"/>
    <w:rsid w:val="00B1708B"/>
    <w:rsid w:val="00B21BA6"/>
    <w:rsid w:val="00B27597"/>
    <w:rsid w:val="00B302C7"/>
    <w:rsid w:val="00B32801"/>
    <w:rsid w:val="00B41D5F"/>
    <w:rsid w:val="00B4248B"/>
    <w:rsid w:val="00B455B2"/>
    <w:rsid w:val="00B46A04"/>
    <w:rsid w:val="00B47069"/>
    <w:rsid w:val="00B47B78"/>
    <w:rsid w:val="00B5086D"/>
    <w:rsid w:val="00B540AE"/>
    <w:rsid w:val="00B558A7"/>
    <w:rsid w:val="00B61431"/>
    <w:rsid w:val="00B61D36"/>
    <w:rsid w:val="00B62A00"/>
    <w:rsid w:val="00B62AED"/>
    <w:rsid w:val="00B70285"/>
    <w:rsid w:val="00B73252"/>
    <w:rsid w:val="00B74B56"/>
    <w:rsid w:val="00B758A3"/>
    <w:rsid w:val="00B7624F"/>
    <w:rsid w:val="00B80E8D"/>
    <w:rsid w:val="00B813C8"/>
    <w:rsid w:val="00B81B7B"/>
    <w:rsid w:val="00B82236"/>
    <w:rsid w:val="00B83FE7"/>
    <w:rsid w:val="00B92EF4"/>
    <w:rsid w:val="00B93FE7"/>
    <w:rsid w:val="00B94D5F"/>
    <w:rsid w:val="00BA1D7E"/>
    <w:rsid w:val="00BA2D74"/>
    <w:rsid w:val="00BA55AC"/>
    <w:rsid w:val="00BA6B09"/>
    <w:rsid w:val="00BA78E6"/>
    <w:rsid w:val="00BB1379"/>
    <w:rsid w:val="00BB48CB"/>
    <w:rsid w:val="00BB622E"/>
    <w:rsid w:val="00BB65BD"/>
    <w:rsid w:val="00BB680C"/>
    <w:rsid w:val="00BC00C2"/>
    <w:rsid w:val="00BC0701"/>
    <w:rsid w:val="00BC24A6"/>
    <w:rsid w:val="00BC5A49"/>
    <w:rsid w:val="00BC6285"/>
    <w:rsid w:val="00BC6DB1"/>
    <w:rsid w:val="00BC7189"/>
    <w:rsid w:val="00BD1328"/>
    <w:rsid w:val="00BD19C7"/>
    <w:rsid w:val="00BD51B8"/>
    <w:rsid w:val="00BD5F04"/>
    <w:rsid w:val="00BD72FD"/>
    <w:rsid w:val="00BD7EA7"/>
    <w:rsid w:val="00BE010C"/>
    <w:rsid w:val="00BE0AE9"/>
    <w:rsid w:val="00BE3751"/>
    <w:rsid w:val="00BE6692"/>
    <w:rsid w:val="00BE6BCB"/>
    <w:rsid w:val="00BE72C8"/>
    <w:rsid w:val="00BE78EF"/>
    <w:rsid w:val="00BF1B45"/>
    <w:rsid w:val="00BF2E7E"/>
    <w:rsid w:val="00BF6192"/>
    <w:rsid w:val="00BF769F"/>
    <w:rsid w:val="00C01585"/>
    <w:rsid w:val="00C032BF"/>
    <w:rsid w:val="00C100A1"/>
    <w:rsid w:val="00C11DC4"/>
    <w:rsid w:val="00C227AE"/>
    <w:rsid w:val="00C2300C"/>
    <w:rsid w:val="00C247E5"/>
    <w:rsid w:val="00C32EDA"/>
    <w:rsid w:val="00C3376A"/>
    <w:rsid w:val="00C34F8B"/>
    <w:rsid w:val="00C367CD"/>
    <w:rsid w:val="00C36B4A"/>
    <w:rsid w:val="00C37A57"/>
    <w:rsid w:val="00C37D4B"/>
    <w:rsid w:val="00C45DC8"/>
    <w:rsid w:val="00C46D87"/>
    <w:rsid w:val="00C50367"/>
    <w:rsid w:val="00C511AF"/>
    <w:rsid w:val="00C54D9D"/>
    <w:rsid w:val="00C60758"/>
    <w:rsid w:val="00C62DA2"/>
    <w:rsid w:val="00C668E4"/>
    <w:rsid w:val="00C67D9B"/>
    <w:rsid w:val="00C7009A"/>
    <w:rsid w:val="00C712C3"/>
    <w:rsid w:val="00C71EDB"/>
    <w:rsid w:val="00C724CD"/>
    <w:rsid w:val="00C7556D"/>
    <w:rsid w:val="00C7587D"/>
    <w:rsid w:val="00C77492"/>
    <w:rsid w:val="00C82931"/>
    <w:rsid w:val="00C85E3D"/>
    <w:rsid w:val="00C907B8"/>
    <w:rsid w:val="00C93CBE"/>
    <w:rsid w:val="00C9647A"/>
    <w:rsid w:val="00C96DF4"/>
    <w:rsid w:val="00C97E28"/>
    <w:rsid w:val="00CA012B"/>
    <w:rsid w:val="00CA29F6"/>
    <w:rsid w:val="00CA6210"/>
    <w:rsid w:val="00CA71C7"/>
    <w:rsid w:val="00CA7874"/>
    <w:rsid w:val="00CB0E4E"/>
    <w:rsid w:val="00CB10D3"/>
    <w:rsid w:val="00CB38E3"/>
    <w:rsid w:val="00CB4F4C"/>
    <w:rsid w:val="00CC4EC5"/>
    <w:rsid w:val="00CC75EE"/>
    <w:rsid w:val="00CD07C5"/>
    <w:rsid w:val="00CD139D"/>
    <w:rsid w:val="00CD53EC"/>
    <w:rsid w:val="00CD5AB8"/>
    <w:rsid w:val="00CE1824"/>
    <w:rsid w:val="00CE4E6A"/>
    <w:rsid w:val="00CF0C3A"/>
    <w:rsid w:val="00CF1520"/>
    <w:rsid w:val="00CF1B5F"/>
    <w:rsid w:val="00CF3294"/>
    <w:rsid w:val="00CF7B3D"/>
    <w:rsid w:val="00D003D3"/>
    <w:rsid w:val="00D05A29"/>
    <w:rsid w:val="00D07947"/>
    <w:rsid w:val="00D07AA5"/>
    <w:rsid w:val="00D160F6"/>
    <w:rsid w:val="00D2189B"/>
    <w:rsid w:val="00D25FB3"/>
    <w:rsid w:val="00D3075C"/>
    <w:rsid w:val="00D316D9"/>
    <w:rsid w:val="00D358AF"/>
    <w:rsid w:val="00D35A52"/>
    <w:rsid w:val="00D360EF"/>
    <w:rsid w:val="00D4340F"/>
    <w:rsid w:val="00D45A14"/>
    <w:rsid w:val="00D470FE"/>
    <w:rsid w:val="00D4726B"/>
    <w:rsid w:val="00D5082B"/>
    <w:rsid w:val="00D52713"/>
    <w:rsid w:val="00D54EAE"/>
    <w:rsid w:val="00D624F5"/>
    <w:rsid w:val="00D707F5"/>
    <w:rsid w:val="00D7524A"/>
    <w:rsid w:val="00D75359"/>
    <w:rsid w:val="00D772D2"/>
    <w:rsid w:val="00D77A3C"/>
    <w:rsid w:val="00D838B0"/>
    <w:rsid w:val="00D91798"/>
    <w:rsid w:val="00D930A3"/>
    <w:rsid w:val="00D96636"/>
    <w:rsid w:val="00D97089"/>
    <w:rsid w:val="00DA15B0"/>
    <w:rsid w:val="00DA1DAD"/>
    <w:rsid w:val="00DA42E8"/>
    <w:rsid w:val="00DA4910"/>
    <w:rsid w:val="00DA4AE0"/>
    <w:rsid w:val="00DA6C41"/>
    <w:rsid w:val="00DA76BB"/>
    <w:rsid w:val="00DB1D50"/>
    <w:rsid w:val="00DB43A4"/>
    <w:rsid w:val="00DB5432"/>
    <w:rsid w:val="00DB69EF"/>
    <w:rsid w:val="00DB7D53"/>
    <w:rsid w:val="00DC0D3F"/>
    <w:rsid w:val="00DC2701"/>
    <w:rsid w:val="00DD0338"/>
    <w:rsid w:val="00DD106F"/>
    <w:rsid w:val="00DD2048"/>
    <w:rsid w:val="00DD2EF9"/>
    <w:rsid w:val="00DD3170"/>
    <w:rsid w:val="00DD666E"/>
    <w:rsid w:val="00DD7962"/>
    <w:rsid w:val="00DE2AA6"/>
    <w:rsid w:val="00DE3279"/>
    <w:rsid w:val="00DE44D6"/>
    <w:rsid w:val="00DE63CF"/>
    <w:rsid w:val="00DF207C"/>
    <w:rsid w:val="00DF23D2"/>
    <w:rsid w:val="00DF2597"/>
    <w:rsid w:val="00DF5C1D"/>
    <w:rsid w:val="00DF63E0"/>
    <w:rsid w:val="00DF67FD"/>
    <w:rsid w:val="00DF74A0"/>
    <w:rsid w:val="00DF7C37"/>
    <w:rsid w:val="00E0051F"/>
    <w:rsid w:val="00E02B49"/>
    <w:rsid w:val="00E05DF9"/>
    <w:rsid w:val="00E0642D"/>
    <w:rsid w:val="00E10C20"/>
    <w:rsid w:val="00E1124A"/>
    <w:rsid w:val="00E14F2A"/>
    <w:rsid w:val="00E15604"/>
    <w:rsid w:val="00E221A3"/>
    <w:rsid w:val="00E24A0F"/>
    <w:rsid w:val="00E26132"/>
    <w:rsid w:val="00E347CA"/>
    <w:rsid w:val="00E374F2"/>
    <w:rsid w:val="00E44600"/>
    <w:rsid w:val="00E4516E"/>
    <w:rsid w:val="00E46941"/>
    <w:rsid w:val="00E50762"/>
    <w:rsid w:val="00E51328"/>
    <w:rsid w:val="00E514A4"/>
    <w:rsid w:val="00E51CA0"/>
    <w:rsid w:val="00E5208C"/>
    <w:rsid w:val="00E520B5"/>
    <w:rsid w:val="00E53FBE"/>
    <w:rsid w:val="00E54283"/>
    <w:rsid w:val="00E559BC"/>
    <w:rsid w:val="00E568CB"/>
    <w:rsid w:val="00E612FE"/>
    <w:rsid w:val="00E61FC8"/>
    <w:rsid w:val="00E6251E"/>
    <w:rsid w:val="00E626CE"/>
    <w:rsid w:val="00E629F7"/>
    <w:rsid w:val="00E647E1"/>
    <w:rsid w:val="00E65469"/>
    <w:rsid w:val="00E65A57"/>
    <w:rsid w:val="00E66E10"/>
    <w:rsid w:val="00E70154"/>
    <w:rsid w:val="00E71B6A"/>
    <w:rsid w:val="00E7323A"/>
    <w:rsid w:val="00E76528"/>
    <w:rsid w:val="00E7666B"/>
    <w:rsid w:val="00E82F0C"/>
    <w:rsid w:val="00E86E87"/>
    <w:rsid w:val="00E907DB"/>
    <w:rsid w:val="00E91C41"/>
    <w:rsid w:val="00E95C5E"/>
    <w:rsid w:val="00E97F40"/>
    <w:rsid w:val="00EA17A1"/>
    <w:rsid w:val="00EA1F10"/>
    <w:rsid w:val="00EA2DDD"/>
    <w:rsid w:val="00EA5332"/>
    <w:rsid w:val="00EB0ECE"/>
    <w:rsid w:val="00EB2368"/>
    <w:rsid w:val="00EB423E"/>
    <w:rsid w:val="00EB4CF1"/>
    <w:rsid w:val="00EB53B6"/>
    <w:rsid w:val="00EB5F9F"/>
    <w:rsid w:val="00EB7AB7"/>
    <w:rsid w:val="00EC752D"/>
    <w:rsid w:val="00ED322B"/>
    <w:rsid w:val="00ED5A45"/>
    <w:rsid w:val="00ED7867"/>
    <w:rsid w:val="00EE38A7"/>
    <w:rsid w:val="00EE51C2"/>
    <w:rsid w:val="00EE5401"/>
    <w:rsid w:val="00EE7348"/>
    <w:rsid w:val="00EF1068"/>
    <w:rsid w:val="00EF59C7"/>
    <w:rsid w:val="00EF7414"/>
    <w:rsid w:val="00F0064E"/>
    <w:rsid w:val="00F07BF8"/>
    <w:rsid w:val="00F12854"/>
    <w:rsid w:val="00F13A13"/>
    <w:rsid w:val="00F141A4"/>
    <w:rsid w:val="00F17E82"/>
    <w:rsid w:val="00F20072"/>
    <w:rsid w:val="00F24007"/>
    <w:rsid w:val="00F244FB"/>
    <w:rsid w:val="00F245E6"/>
    <w:rsid w:val="00F2493F"/>
    <w:rsid w:val="00F27FA2"/>
    <w:rsid w:val="00F30484"/>
    <w:rsid w:val="00F31E6A"/>
    <w:rsid w:val="00F34CA9"/>
    <w:rsid w:val="00F35F4F"/>
    <w:rsid w:val="00F36CBC"/>
    <w:rsid w:val="00F40D9B"/>
    <w:rsid w:val="00F45DCB"/>
    <w:rsid w:val="00F45F27"/>
    <w:rsid w:val="00F50891"/>
    <w:rsid w:val="00F53B6B"/>
    <w:rsid w:val="00F53D80"/>
    <w:rsid w:val="00F54C53"/>
    <w:rsid w:val="00F54CE1"/>
    <w:rsid w:val="00F563F1"/>
    <w:rsid w:val="00F5775B"/>
    <w:rsid w:val="00F608F0"/>
    <w:rsid w:val="00F6298C"/>
    <w:rsid w:val="00F637F2"/>
    <w:rsid w:val="00F6595C"/>
    <w:rsid w:val="00F7147C"/>
    <w:rsid w:val="00F71EAF"/>
    <w:rsid w:val="00F7205D"/>
    <w:rsid w:val="00F73E02"/>
    <w:rsid w:val="00F73E98"/>
    <w:rsid w:val="00F7581C"/>
    <w:rsid w:val="00F76ADE"/>
    <w:rsid w:val="00F77873"/>
    <w:rsid w:val="00F8066D"/>
    <w:rsid w:val="00F822BE"/>
    <w:rsid w:val="00F82757"/>
    <w:rsid w:val="00F845A4"/>
    <w:rsid w:val="00F845B3"/>
    <w:rsid w:val="00F900F1"/>
    <w:rsid w:val="00F9030C"/>
    <w:rsid w:val="00F90EDD"/>
    <w:rsid w:val="00F92032"/>
    <w:rsid w:val="00F92830"/>
    <w:rsid w:val="00F93D41"/>
    <w:rsid w:val="00F93FD8"/>
    <w:rsid w:val="00F9652A"/>
    <w:rsid w:val="00F96C38"/>
    <w:rsid w:val="00F97518"/>
    <w:rsid w:val="00FA1AF4"/>
    <w:rsid w:val="00FA27A9"/>
    <w:rsid w:val="00FA2A13"/>
    <w:rsid w:val="00FA2A59"/>
    <w:rsid w:val="00FA7EBA"/>
    <w:rsid w:val="00FA7F99"/>
    <w:rsid w:val="00FB04FC"/>
    <w:rsid w:val="00FB0D81"/>
    <w:rsid w:val="00FC0E77"/>
    <w:rsid w:val="00FC1BE3"/>
    <w:rsid w:val="00FC4E83"/>
    <w:rsid w:val="00FC583C"/>
    <w:rsid w:val="00FD1331"/>
    <w:rsid w:val="00FD2EB9"/>
    <w:rsid w:val="00FD324D"/>
    <w:rsid w:val="00FD792D"/>
    <w:rsid w:val="00FE09D3"/>
    <w:rsid w:val="00FE1500"/>
    <w:rsid w:val="00FE25FB"/>
    <w:rsid w:val="00FE45D1"/>
    <w:rsid w:val="00FE7689"/>
    <w:rsid w:val="00FF1F93"/>
    <w:rsid w:val="00FF2AA5"/>
    <w:rsid w:val="00FF619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colormru v:ext="edit" colors="#c60"/>
      <o:colormenu v:ext="edit" fillcolor="none [1305]" strokecolor="#c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8A9"/>
    <w:rPr>
      <w:sz w:val="24"/>
      <w:szCs w:val="24"/>
      <w:lang w:val="fr-FR" w:eastAsia="fr-FR"/>
    </w:rPr>
  </w:style>
  <w:style w:type="paragraph" w:styleId="Titre1">
    <w:name w:val="heading 1"/>
    <w:basedOn w:val="Normal"/>
    <w:next w:val="Normal"/>
    <w:qFormat/>
    <w:rsid w:val="00E46941"/>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46941"/>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6268A9"/>
    <w:pPr>
      <w:keepNext/>
      <w:outlineLvl w:val="2"/>
    </w:pPr>
    <w:rPr>
      <w:b/>
      <w:bCs/>
      <w:sz w:val="28"/>
      <w:lang w:val="en-US" w:eastAsia="en-US"/>
    </w:rPr>
  </w:style>
  <w:style w:type="paragraph" w:styleId="Titre6">
    <w:name w:val="heading 6"/>
    <w:basedOn w:val="Normal"/>
    <w:next w:val="Normal"/>
    <w:qFormat/>
    <w:rsid w:val="006268A9"/>
    <w:pPr>
      <w:keepNext/>
      <w:jc w:val="center"/>
      <w:outlineLvl w:val="5"/>
    </w:pPr>
    <w:rPr>
      <w:b/>
      <w:bCs/>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6268A9"/>
    <w:pPr>
      <w:tabs>
        <w:tab w:val="center" w:pos="4320"/>
        <w:tab w:val="right" w:pos="8640"/>
      </w:tabs>
    </w:pPr>
  </w:style>
  <w:style w:type="character" w:styleId="Numrodepage">
    <w:name w:val="page number"/>
    <w:basedOn w:val="Policepardfaut"/>
    <w:uiPriority w:val="99"/>
    <w:rsid w:val="006268A9"/>
  </w:style>
  <w:style w:type="paragraph" w:styleId="Titre">
    <w:name w:val="Title"/>
    <w:basedOn w:val="Normal"/>
    <w:qFormat/>
    <w:rsid w:val="006268A9"/>
    <w:pPr>
      <w:jc w:val="center"/>
    </w:pPr>
    <w:rPr>
      <w:sz w:val="32"/>
      <w:lang w:val="en-US" w:eastAsia="en-US"/>
    </w:rPr>
  </w:style>
  <w:style w:type="character" w:styleId="lev">
    <w:name w:val="Strong"/>
    <w:qFormat/>
    <w:rsid w:val="006268A9"/>
    <w:rPr>
      <w:b/>
      <w:bCs/>
    </w:rPr>
  </w:style>
  <w:style w:type="paragraph" w:styleId="Corpsdetexte3">
    <w:name w:val="Body Text 3"/>
    <w:basedOn w:val="Normal"/>
    <w:rsid w:val="006268A9"/>
    <w:rPr>
      <w:lang w:val="en-US" w:eastAsia="en-US"/>
    </w:rPr>
  </w:style>
  <w:style w:type="paragraph" w:styleId="Corpsdetexte2">
    <w:name w:val="Body Text 2"/>
    <w:basedOn w:val="Normal"/>
    <w:rsid w:val="006268A9"/>
    <w:pPr>
      <w:autoSpaceDE w:val="0"/>
      <w:autoSpaceDN w:val="0"/>
      <w:adjustRightInd w:val="0"/>
      <w:spacing w:line="240" w:lineRule="atLeast"/>
    </w:pPr>
    <w:rPr>
      <w:color w:val="000000"/>
      <w:szCs w:val="20"/>
      <w:lang w:val="en-US" w:eastAsia="en-US"/>
    </w:rPr>
  </w:style>
  <w:style w:type="paragraph" w:customStyle="1" w:styleId="style3">
    <w:name w:val="style3"/>
    <w:basedOn w:val="Normal"/>
    <w:rsid w:val="006268A9"/>
    <w:pPr>
      <w:spacing w:before="100" w:beforeAutospacing="1" w:after="100" w:afterAutospacing="1"/>
    </w:pPr>
    <w:rPr>
      <w:rFonts w:ascii="Arial" w:hAnsi="Arial" w:cs="Arial"/>
      <w:lang w:val="en-US" w:eastAsia="en-US"/>
    </w:rPr>
  </w:style>
  <w:style w:type="paragraph" w:styleId="En-tte">
    <w:name w:val="header"/>
    <w:basedOn w:val="Normal"/>
    <w:link w:val="En-tteCar"/>
    <w:rsid w:val="0077064E"/>
    <w:pPr>
      <w:tabs>
        <w:tab w:val="center" w:pos="4536"/>
        <w:tab w:val="right" w:pos="9072"/>
      </w:tabs>
    </w:pPr>
  </w:style>
  <w:style w:type="paragraph" w:styleId="Textedebulles">
    <w:name w:val="Balloon Text"/>
    <w:basedOn w:val="Normal"/>
    <w:semiHidden/>
    <w:rsid w:val="004E0FAD"/>
    <w:rPr>
      <w:rFonts w:ascii="Tahoma" w:hAnsi="Tahoma" w:cs="Tahoma"/>
      <w:sz w:val="16"/>
      <w:szCs w:val="16"/>
    </w:rPr>
  </w:style>
  <w:style w:type="character" w:styleId="Lienhypertexte">
    <w:name w:val="Hyperlink"/>
    <w:rsid w:val="00447FB3"/>
    <w:rPr>
      <w:color w:val="0000FF"/>
      <w:u w:val="single"/>
    </w:rPr>
  </w:style>
  <w:style w:type="paragraph" w:customStyle="1" w:styleId="CharCharCharCharChar">
    <w:name w:val="Char Char Char Char Char"/>
    <w:basedOn w:val="Normal"/>
    <w:rsid w:val="00447FB3"/>
    <w:pPr>
      <w:spacing w:after="160" w:line="240" w:lineRule="exact"/>
    </w:pPr>
    <w:rPr>
      <w:rFonts w:ascii="Verdana" w:hAnsi="Verdana"/>
      <w:sz w:val="20"/>
      <w:szCs w:val="20"/>
      <w:lang w:val="en-GB" w:eastAsia="en-US"/>
    </w:rPr>
  </w:style>
  <w:style w:type="paragraph" w:styleId="Corpsdetexte">
    <w:name w:val="Body Text"/>
    <w:basedOn w:val="Normal"/>
    <w:rsid w:val="007C2C94"/>
    <w:pPr>
      <w:spacing w:after="120"/>
    </w:pPr>
  </w:style>
  <w:style w:type="paragraph" w:customStyle="1" w:styleId="Listecouleur-Accent11">
    <w:name w:val="Liste couleur - Accent 11"/>
    <w:basedOn w:val="Normal"/>
    <w:uiPriority w:val="34"/>
    <w:qFormat/>
    <w:rsid w:val="00F20072"/>
    <w:pPr>
      <w:ind w:left="720"/>
      <w:contextualSpacing/>
    </w:pPr>
  </w:style>
  <w:style w:type="paragraph" w:styleId="Notedebasdepage">
    <w:name w:val="footnote text"/>
    <w:basedOn w:val="Normal"/>
    <w:link w:val="NotedebasdepageCar"/>
    <w:uiPriority w:val="99"/>
    <w:semiHidden/>
    <w:unhideWhenUsed/>
    <w:rsid w:val="000A4FE1"/>
    <w:rPr>
      <w:rFonts w:ascii="Calibri" w:eastAsia="Calibri" w:hAnsi="Calibri"/>
      <w:sz w:val="20"/>
      <w:szCs w:val="20"/>
      <w:lang w:eastAsia="en-US"/>
    </w:rPr>
  </w:style>
  <w:style w:type="character" w:customStyle="1" w:styleId="NotedebasdepageCar">
    <w:name w:val="Note de bas de page Car"/>
    <w:link w:val="Notedebasdepage"/>
    <w:uiPriority w:val="99"/>
    <w:semiHidden/>
    <w:rsid w:val="000A4FE1"/>
    <w:rPr>
      <w:rFonts w:ascii="Calibri" w:eastAsia="Calibri" w:hAnsi="Calibri"/>
      <w:lang w:eastAsia="en-US"/>
    </w:rPr>
  </w:style>
  <w:style w:type="character" w:styleId="Appelnotedebasdep">
    <w:name w:val="footnote reference"/>
    <w:semiHidden/>
    <w:unhideWhenUsed/>
    <w:rsid w:val="000A4FE1"/>
    <w:rPr>
      <w:vertAlign w:val="superscript"/>
    </w:rPr>
  </w:style>
  <w:style w:type="paragraph" w:styleId="Lgende">
    <w:name w:val="caption"/>
    <w:basedOn w:val="Normal"/>
    <w:next w:val="Normal"/>
    <w:qFormat/>
    <w:rsid w:val="00E46941"/>
    <w:pPr>
      <w:jc w:val="center"/>
    </w:pPr>
    <w:rPr>
      <w:rFonts w:ascii="Tahoma" w:hAnsi="Tahoma" w:cs="Tahoma"/>
      <w:i/>
      <w:iCs/>
      <w:spacing w:val="-2"/>
      <w:szCs w:val="20"/>
      <w:lang w:val="en-GB" w:eastAsia="en-US"/>
    </w:rPr>
  </w:style>
  <w:style w:type="character" w:customStyle="1" w:styleId="PieddepageCar">
    <w:name w:val="Pied de page Car"/>
    <w:link w:val="Pieddepage"/>
    <w:uiPriority w:val="99"/>
    <w:rsid w:val="00E46941"/>
    <w:rPr>
      <w:sz w:val="24"/>
      <w:szCs w:val="24"/>
      <w:lang w:val="fr-FR" w:eastAsia="fr-FR" w:bidi="ar-SA"/>
    </w:rPr>
  </w:style>
  <w:style w:type="character" w:customStyle="1" w:styleId="En-tteCar">
    <w:name w:val="En-tête Car"/>
    <w:link w:val="En-tte"/>
    <w:locked/>
    <w:rsid w:val="00DA42E8"/>
    <w:rPr>
      <w:sz w:val="24"/>
      <w:szCs w:val="24"/>
      <w:lang w:val="fr-FR" w:eastAsia="fr-FR" w:bidi="ar-SA"/>
    </w:rPr>
  </w:style>
  <w:style w:type="paragraph" w:styleId="NormalWeb">
    <w:name w:val="Normal (Web)"/>
    <w:basedOn w:val="Normal"/>
    <w:semiHidden/>
    <w:unhideWhenUsed/>
    <w:rsid w:val="00261623"/>
    <w:pPr>
      <w:spacing w:before="100" w:beforeAutospacing="1" w:after="100" w:afterAutospacing="1"/>
    </w:pPr>
  </w:style>
  <w:style w:type="paragraph" w:styleId="Notedefin">
    <w:name w:val="endnote text"/>
    <w:basedOn w:val="Normal"/>
    <w:link w:val="NotedefinCar"/>
    <w:uiPriority w:val="99"/>
    <w:semiHidden/>
    <w:unhideWhenUsed/>
    <w:rsid w:val="009947CF"/>
    <w:rPr>
      <w:sz w:val="20"/>
      <w:szCs w:val="20"/>
    </w:rPr>
  </w:style>
  <w:style w:type="character" w:customStyle="1" w:styleId="NotedefinCar">
    <w:name w:val="Note de fin Car"/>
    <w:basedOn w:val="Policepardfaut"/>
    <w:link w:val="Notedefin"/>
    <w:uiPriority w:val="99"/>
    <w:semiHidden/>
    <w:rsid w:val="009947CF"/>
  </w:style>
  <w:style w:type="character" w:styleId="Appeldenotedefin">
    <w:name w:val="endnote reference"/>
    <w:basedOn w:val="Policepardfaut"/>
    <w:uiPriority w:val="99"/>
    <w:semiHidden/>
    <w:unhideWhenUsed/>
    <w:rsid w:val="009947CF"/>
    <w:rPr>
      <w:vertAlign w:val="superscript"/>
    </w:rPr>
  </w:style>
  <w:style w:type="paragraph" w:styleId="Paragraphedeliste">
    <w:name w:val="List Paragraph"/>
    <w:basedOn w:val="Normal"/>
    <w:uiPriority w:val="34"/>
    <w:qFormat/>
    <w:rsid w:val="00536117"/>
    <w:pPr>
      <w:ind w:left="708"/>
    </w:pPr>
  </w:style>
  <w:style w:type="character" w:styleId="Marquedecommentaire">
    <w:name w:val="annotation reference"/>
    <w:basedOn w:val="Policepardfaut"/>
    <w:uiPriority w:val="99"/>
    <w:semiHidden/>
    <w:unhideWhenUsed/>
    <w:rsid w:val="007252E8"/>
    <w:rPr>
      <w:sz w:val="16"/>
      <w:szCs w:val="16"/>
    </w:rPr>
  </w:style>
  <w:style w:type="paragraph" w:styleId="Commentaire">
    <w:name w:val="annotation text"/>
    <w:basedOn w:val="Normal"/>
    <w:link w:val="CommentaireCar"/>
    <w:uiPriority w:val="99"/>
    <w:semiHidden/>
    <w:unhideWhenUsed/>
    <w:rsid w:val="007252E8"/>
    <w:rPr>
      <w:sz w:val="20"/>
      <w:szCs w:val="20"/>
    </w:rPr>
  </w:style>
  <w:style w:type="character" w:customStyle="1" w:styleId="CommentaireCar">
    <w:name w:val="Commentaire Car"/>
    <w:basedOn w:val="Policepardfaut"/>
    <w:link w:val="Commentaire"/>
    <w:uiPriority w:val="99"/>
    <w:semiHidden/>
    <w:rsid w:val="007252E8"/>
    <w:rPr>
      <w:lang w:val="fr-FR" w:eastAsia="fr-FR"/>
    </w:rPr>
  </w:style>
  <w:style w:type="paragraph" w:styleId="Objetducommentaire">
    <w:name w:val="annotation subject"/>
    <w:basedOn w:val="Commentaire"/>
    <w:next w:val="Commentaire"/>
    <w:link w:val="ObjetducommentaireCar"/>
    <w:uiPriority w:val="99"/>
    <w:semiHidden/>
    <w:unhideWhenUsed/>
    <w:rsid w:val="007252E8"/>
    <w:rPr>
      <w:b/>
      <w:bCs/>
    </w:rPr>
  </w:style>
  <w:style w:type="character" w:customStyle="1" w:styleId="ObjetducommentaireCar">
    <w:name w:val="Objet du commentaire Car"/>
    <w:basedOn w:val="CommentaireCar"/>
    <w:link w:val="Objetducommentaire"/>
    <w:uiPriority w:val="99"/>
    <w:semiHidden/>
    <w:rsid w:val="007252E8"/>
    <w:rPr>
      <w:b/>
      <w:bCs/>
    </w:rPr>
  </w:style>
  <w:style w:type="paragraph" w:customStyle="1" w:styleId="CarCar">
    <w:name w:val="Car Car"/>
    <w:basedOn w:val="Normal"/>
    <w:rsid w:val="00456076"/>
    <w:pPr>
      <w:spacing w:after="160" w:line="240" w:lineRule="exact"/>
    </w:pPr>
    <w:rPr>
      <w:rFonts w:cs="Arial"/>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508101827">
      <w:bodyDiv w:val="1"/>
      <w:marLeft w:val="0"/>
      <w:marRight w:val="0"/>
      <w:marTop w:val="0"/>
      <w:marBottom w:val="0"/>
      <w:divBdr>
        <w:top w:val="none" w:sz="0" w:space="0" w:color="auto"/>
        <w:left w:val="none" w:sz="0" w:space="0" w:color="auto"/>
        <w:bottom w:val="none" w:sz="0" w:space="0" w:color="auto"/>
        <w:right w:val="none" w:sz="0" w:space="0" w:color="auto"/>
      </w:divBdr>
      <w:divsChild>
        <w:div w:id="806628836">
          <w:marLeft w:val="547"/>
          <w:marRight w:val="0"/>
          <w:marTop w:val="154"/>
          <w:marBottom w:val="0"/>
          <w:divBdr>
            <w:top w:val="none" w:sz="0" w:space="0" w:color="auto"/>
            <w:left w:val="none" w:sz="0" w:space="0" w:color="auto"/>
            <w:bottom w:val="none" w:sz="0" w:space="0" w:color="auto"/>
            <w:right w:val="none" w:sz="0" w:space="0" w:color="auto"/>
          </w:divBdr>
        </w:div>
        <w:div w:id="2039772520">
          <w:marLeft w:val="547"/>
          <w:marRight w:val="0"/>
          <w:marTop w:val="154"/>
          <w:marBottom w:val="0"/>
          <w:divBdr>
            <w:top w:val="none" w:sz="0" w:space="0" w:color="auto"/>
            <w:left w:val="none" w:sz="0" w:space="0" w:color="auto"/>
            <w:bottom w:val="none" w:sz="0" w:space="0" w:color="auto"/>
            <w:right w:val="none" w:sz="0" w:space="0" w:color="auto"/>
          </w:divBdr>
        </w:div>
      </w:divsChild>
    </w:div>
    <w:div w:id="580337797">
      <w:bodyDiv w:val="1"/>
      <w:marLeft w:val="0"/>
      <w:marRight w:val="0"/>
      <w:marTop w:val="0"/>
      <w:marBottom w:val="0"/>
      <w:divBdr>
        <w:top w:val="none" w:sz="0" w:space="0" w:color="auto"/>
        <w:left w:val="none" w:sz="0" w:space="0" w:color="auto"/>
        <w:bottom w:val="none" w:sz="0" w:space="0" w:color="auto"/>
        <w:right w:val="none" w:sz="0" w:space="0" w:color="auto"/>
      </w:divBdr>
    </w:div>
    <w:div w:id="710541630">
      <w:bodyDiv w:val="1"/>
      <w:marLeft w:val="0"/>
      <w:marRight w:val="0"/>
      <w:marTop w:val="0"/>
      <w:marBottom w:val="0"/>
      <w:divBdr>
        <w:top w:val="none" w:sz="0" w:space="0" w:color="auto"/>
        <w:left w:val="none" w:sz="0" w:space="0" w:color="auto"/>
        <w:bottom w:val="none" w:sz="0" w:space="0" w:color="auto"/>
        <w:right w:val="none" w:sz="0" w:space="0" w:color="auto"/>
      </w:divBdr>
    </w:div>
    <w:div w:id="1443182769">
      <w:bodyDiv w:val="1"/>
      <w:marLeft w:val="0"/>
      <w:marRight w:val="0"/>
      <w:marTop w:val="0"/>
      <w:marBottom w:val="0"/>
      <w:divBdr>
        <w:top w:val="none" w:sz="0" w:space="0" w:color="auto"/>
        <w:left w:val="none" w:sz="0" w:space="0" w:color="auto"/>
        <w:bottom w:val="none" w:sz="0" w:space="0" w:color="auto"/>
        <w:right w:val="none" w:sz="0" w:space="0" w:color="auto"/>
      </w:divBdr>
    </w:div>
    <w:div w:id="1633558739">
      <w:bodyDiv w:val="1"/>
      <w:marLeft w:val="0"/>
      <w:marRight w:val="0"/>
      <w:marTop w:val="0"/>
      <w:marBottom w:val="0"/>
      <w:divBdr>
        <w:top w:val="none" w:sz="0" w:space="0" w:color="auto"/>
        <w:left w:val="none" w:sz="0" w:space="0" w:color="auto"/>
        <w:bottom w:val="none" w:sz="0" w:space="0" w:color="auto"/>
        <w:right w:val="none" w:sz="0" w:space="0" w:color="auto"/>
      </w:divBdr>
    </w:div>
    <w:div w:id="1666859841">
      <w:bodyDiv w:val="1"/>
      <w:marLeft w:val="0"/>
      <w:marRight w:val="0"/>
      <w:marTop w:val="0"/>
      <w:marBottom w:val="0"/>
      <w:divBdr>
        <w:top w:val="none" w:sz="0" w:space="0" w:color="auto"/>
        <w:left w:val="none" w:sz="0" w:space="0" w:color="auto"/>
        <w:bottom w:val="none" w:sz="0" w:space="0" w:color="auto"/>
        <w:right w:val="none" w:sz="0" w:space="0" w:color="auto"/>
      </w:divBdr>
    </w:div>
    <w:div w:id="1674599950">
      <w:bodyDiv w:val="1"/>
      <w:marLeft w:val="0"/>
      <w:marRight w:val="0"/>
      <w:marTop w:val="0"/>
      <w:marBottom w:val="0"/>
      <w:divBdr>
        <w:top w:val="none" w:sz="0" w:space="0" w:color="auto"/>
        <w:left w:val="none" w:sz="0" w:space="0" w:color="auto"/>
        <w:bottom w:val="none" w:sz="0" w:space="0" w:color="auto"/>
        <w:right w:val="none" w:sz="0" w:space="0" w:color="auto"/>
      </w:divBdr>
    </w:div>
    <w:div w:id="1690402595">
      <w:bodyDiv w:val="1"/>
      <w:marLeft w:val="0"/>
      <w:marRight w:val="0"/>
      <w:marTop w:val="0"/>
      <w:marBottom w:val="0"/>
      <w:divBdr>
        <w:top w:val="none" w:sz="0" w:space="0" w:color="auto"/>
        <w:left w:val="none" w:sz="0" w:space="0" w:color="auto"/>
        <w:bottom w:val="none" w:sz="0" w:space="0" w:color="auto"/>
        <w:right w:val="none" w:sz="0" w:space="0" w:color="auto"/>
      </w:divBdr>
    </w:div>
    <w:div w:id="1711110217">
      <w:bodyDiv w:val="1"/>
      <w:marLeft w:val="0"/>
      <w:marRight w:val="0"/>
      <w:marTop w:val="0"/>
      <w:marBottom w:val="0"/>
      <w:divBdr>
        <w:top w:val="none" w:sz="0" w:space="0" w:color="auto"/>
        <w:left w:val="none" w:sz="0" w:space="0" w:color="auto"/>
        <w:bottom w:val="none" w:sz="0" w:space="0" w:color="auto"/>
        <w:right w:val="none" w:sz="0" w:space="0" w:color="auto"/>
      </w:divBdr>
      <w:divsChild>
        <w:div w:id="16019883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B995AA-26CD-4CC5-BF30-EE84CB074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539</TotalTime>
  <Pages>8</Pages>
  <Words>3216</Words>
  <Characters>18334</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UNITED NATIONS</vt:lpstr>
    </vt:vector>
  </TitlesOfParts>
  <Company>HP</Company>
  <LinksUpToDate>false</LinksUpToDate>
  <CharactersWithSpaces>21507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sro-na</dc:creator>
  <cp:keywords/>
  <dc:description/>
  <cp:lastModifiedBy> </cp:lastModifiedBy>
  <cp:revision>28</cp:revision>
  <cp:lastPrinted>2012-06-28T18:02:00Z</cp:lastPrinted>
  <dcterms:created xsi:type="dcterms:W3CDTF">2012-06-27T11:06:00Z</dcterms:created>
  <dcterms:modified xsi:type="dcterms:W3CDTF">2012-06-29T21:00:00Z</dcterms:modified>
</cp:coreProperties>
</file>