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315"/>
        <w:tblW w:w="0" w:type="auto"/>
        <w:tblLook w:val="0000"/>
      </w:tblPr>
      <w:tblGrid>
        <w:gridCol w:w="5085"/>
        <w:gridCol w:w="5085"/>
      </w:tblGrid>
      <w:tr w:rsidR="00386DE7" w:rsidRPr="00036939" w:rsidTr="00386DE7">
        <w:trPr>
          <w:trHeight w:val="1305"/>
        </w:trPr>
        <w:tc>
          <w:tcPr>
            <w:tcW w:w="5085" w:type="dxa"/>
          </w:tcPr>
          <w:p w:rsidR="00386DE7" w:rsidRPr="000F4FFB" w:rsidRDefault="00386DE7" w:rsidP="00386DE7">
            <w:pPr>
              <w:spacing w:after="0"/>
              <w:jc w:val="center"/>
              <w:rPr>
                <w:rFonts w:asciiTheme="majorHAnsi" w:hAnsiTheme="majorHAnsi"/>
                <w:b/>
                <w:bCs/>
                <w:color w:val="0099CC"/>
                <w:sz w:val="56"/>
                <w:szCs w:val="72"/>
              </w:rPr>
            </w:pPr>
            <w:bookmarkStart w:id="0" w:name="OLE_LINK1"/>
            <w:bookmarkStart w:id="1" w:name="OLE_LINK2"/>
            <w:r w:rsidRPr="00036939">
              <w:rPr>
                <w:rFonts w:asciiTheme="majorHAnsi" w:hAnsiTheme="majorHAnsi"/>
                <w:b/>
                <w:bCs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028700" cy="800100"/>
                  <wp:effectExtent l="19050" t="0" r="0" b="0"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6DE7" w:rsidRPr="00036939" w:rsidRDefault="00386DE7" w:rsidP="00FC768B">
            <w:pPr>
              <w:spacing w:after="0"/>
              <w:jc w:val="center"/>
              <w:rPr>
                <w:rFonts w:asciiTheme="majorHAnsi" w:hAnsiTheme="majorHAnsi"/>
                <w:sz w:val="2"/>
                <w:szCs w:val="2"/>
              </w:rPr>
            </w:pPr>
            <w:r w:rsidRPr="00036939">
              <w:rPr>
                <w:rFonts w:asciiTheme="majorHAnsi" w:hAnsiTheme="majorHAnsi"/>
                <w:b/>
                <w:bCs/>
                <w:color w:val="0099CC"/>
                <w:szCs w:val="24"/>
              </w:rPr>
              <w:t>Commission économique pour l’Afrique</w:t>
            </w:r>
          </w:p>
        </w:tc>
        <w:tc>
          <w:tcPr>
            <w:tcW w:w="5085" w:type="dxa"/>
          </w:tcPr>
          <w:p w:rsidR="00386DE7" w:rsidRPr="00036939" w:rsidRDefault="00386DE7" w:rsidP="00386DE7">
            <w:pPr>
              <w:spacing w:after="0"/>
              <w:jc w:val="center"/>
              <w:rPr>
                <w:rFonts w:asciiTheme="majorHAnsi" w:hAnsiTheme="majorHAnsi"/>
                <w:sz w:val="2"/>
                <w:szCs w:val="2"/>
              </w:rPr>
            </w:pPr>
            <w:r w:rsidRPr="00036939">
              <w:rPr>
                <w:rFonts w:asciiTheme="majorHAnsi" w:hAnsiTheme="majorHAnsi"/>
                <w:b/>
                <w:bCs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914400" cy="885825"/>
                  <wp:effectExtent l="19050" t="0" r="0" b="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157" cy="886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6DE7" w:rsidRPr="00036939" w:rsidRDefault="00386DE7" w:rsidP="00386DE7">
            <w:pPr>
              <w:pStyle w:val="Lgende"/>
              <w:rPr>
                <w:rFonts w:asciiTheme="majorHAnsi" w:hAnsiTheme="majorHAnsi"/>
                <w:b/>
                <w:bCs/>
                <w:i w:val="0"/>
                <w:color w:val="0099CC"/>
                <w:szCs w:val="24"/>
                <w:lang w:val="fr-FR"/>
              </w:rPr>
            </w:pPr>
            <w:r w:rsidRPr="00036939">
              <w:rPr>
                <w:rFonts w:asciiTheme="majorHAnsi" w:hAnsiTheme="majorHAnsi"/>
                <w:b/>
                <w:bCs/>
                <w:i w:val="0"/>
                <w:iCs w:val="0"/>
                <w:color w:val="996633"/>
                <w:szCs w:val="24"/>
                <w:lang w:val="fr-FR"/>
              </w:rPr>
              <w:t>Union du Maghreb Arabe</w:t>
            </w:r>
          </w:p>
        </w:tc>
      </w:tr>
    </w:tbl>
    <w:p w:rsidR="00386DE7" w:rsidRDefault="00386DE7" w:rsidP="00647C38">
      <w:pPr>
        <w:spacing w:after="240" w:line="240" w:lineRule="auto"/>
        <w:jc w:val="center"/>
        <w:rPr>
          <w:rFonts w:asciiTheme="majorHAnsi" w:eastAsia="Times New Roman" w:hAnsiTheme="majorHAnsi" w:cs="Times New Roman"/>
          <w:b/>
          <w:bCs/>
          <w:sz w:val="36"/>
          <w:szCs w:val="36"/>
          <w:lang w:eastAsia="fr-FR"/>
        </w:rPr>
      </w:pPr>
    </w:p>
    <w:p w:rsidR="00C36F19" w:rsidRPr="00386DE7" w:rsidRDefault="00C36F19" w:rsidP="00386DE7">
      <w:pPr>
        <w:spacing w:after="240" w:line="240" w:lineRule="auto"/>
        <w:ind w:left="284" w:right="118"/>
        <w:jc w:val="center"/>
        <w:rPr>
          <w:rFonts w:asciiTheme="majorHAnsi" w:eastAsia="Times New Roman" w:hAnsiTheme="majorHAnsi" w:cs="Times New Roman"/>
          <w:sz w:val="36"/>
          <w:szCs w:val="36"/>
          <w:lang w:eastAsia="fr-FR"/>
        </w:rPr>
      </w:pPr>
      <w:r w:rsidRPr="00386DE7">
        <w:rPr>
          <w:rFonts w:asciiTheme="majorHAnsi" w:eastAsia="Times New Roman" w:hAnsiTheme="majorHAnsi" w:cs="Times New Roman"/>
          <w:b/>
          <w:bCs/>
          <w:sz w:val="36"/>
          <w:szCs w:val="36"/>
          <w:lang w:eastAsia="fr-FR"/>
        </w:rPr>
        <w:t>Aide-mémoire</w:t>
      </w:r>
    </w:p>
    <w:p w:rsidR="00C36F19" w:rsidRPr="00386DE7" w:rsidRDefault="00C36F19" w:rsidP="00386DE7">
      <w:pPr>
        <w:spacing w:before="100" w:beforeAutospacing="1" w:after="100" w:afterAutospacing="1" w:line="240" w:lineRule="auto"/>
        <w:ind w:left="284" w:right="118"/>
        <w:jc w:val="center"/>
        <w:rPr>
          <w:rFonts w:asciiTheme="majorHAnsi" w:eastAsia="Times New Roman" w:hAnsiTheme="majorHAnsi" w:cs="Times New Roman"/>
          <w:color w:val="943634" w:themeColor="accent2" w:themeShade="BF"/>
          <w:sz w:val="28"/>
          <w:szCs w:val="28"/>
          <w:lang w:eastAsia="fr-FR"/>
        </w:rPr>
      </w:pPr>
      <w:r w:rsidRPr="00386DE7">
        <w:rPr>
          <w:rFonts w:asciiTheme="majorHAnsi" w:eastAsia="Times New Roman" w:hAnsiTheme="majorHAnsi" w:cs="Times New Roman"/>
          <w:b/>
          <w:bCs/>
          <w:color w:val="943634" w:themeColor="accent2" w:themeShade="BF"/>
          <w:sz w:val="28"/>
          <w:szCs w:val="28"/>
          <w:lang w:eastAsia="fr-FR"/>
        </w:rPr>
        <w:t>Atelier sur l'harmonisation de la cyberlégislation</w:t>
      </w:r>
      <w:r w:rsidRPr="00386DE7">
        <w:rPr>
          <w:rFonts w:asciiTheme="majorHAnsi" w:eastAsia="Times New Roman" w:hAnsiTheme="majorHAnsi" w:cs="Times New Roman"/>
          <w:color w:val="943634" w:themeColor="accent2" w:themeShade="BF"/>
          <w:sz w:val="28"/>
          <w:szCs w:val="28"/>
          <w:lang w:eastAsia="fr-FR"/>
        </w:rPr>
        <w:t xml:space="preserve"> </w:t>
      </w:r>
      <w:r w:rsidR="00E3201E" w:rsidRPr="00386DE7">
        <w:rPr>
          <w:rFonts w:asciiTheme="majorHAnsi" w:eastAsia="Times New Roman" w:hAnsiTheme="majorHAnsi" w:cs="Times New Roman"/>
          <w:color w:val="943634" w:themeColor="accent2" w:themeShade="BF"/>
          <w:sz w:val="28"/>
          <w:szCs w:val="28"/>
          <w:lang w:eastAsia="fr-FR"/>
        </w:rPr>
        <w:t xml:space="preserve"> </w:t>
      </w:r>
      <w:r w:rsidR="00E3201E" w:rsidRPr="00386DE7">
        <w:rPr>
          <w:rFonts w:asciiTheme="majorHAnsi" w:eastAsia="Times New Roman" w:hAnsiTheme="majorHAnsi" w:cs="Times New Roman"/>
          <w:b/>
          <w:bCs/>
          <w:color w:val="943634" w:themeColor="accent2" w:themeShade="BF"/>
          <w:sz w:val="28"/>
          <w:szCs w:val="28"/>
          <w:lang w:eastAsia="fr-FR"/>
        </w:rPr>
        <w:t xml:space="preserve">au </w:t>
      </w:r>
      <w:r w:rsidRPr="00386DE7">
        <w:rPr>
          <w:rFonts w:asciiTheme="majorHAnsi" w:eastAsia="Times New Roman" w:hAnsiTheme="majorHAnsi" w:cs="Times New Roman"/>
          <w:b/>
          <w:bCs/>
          <w:color w:val="943634" w:themeColor="accent2" w:themeShade="BF"/>
          <w:sz w:val="28"/>
          <w:szCs w:val="28"/>
          <w:lang w:eastAsia="fr-FR"/>
        </w:rPr>
        <w:t>Maghreb</w:t>
      </w:r>
    </w:p>
    <w:p w:rsidR="00C36F19" w:rsidRDefault="00C36F19" w:rsidP="00386DE7">
      <w:pPr>
        <w:spacing w:before="100" w:beforeAutospacing="1" w:after="240" w:line="240" w:lineRule="auto"/>
        <w:ind w:left="284" w:right="118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fr-FR"/>
        </w:rPr>
      </w:pPr>
      <w:bookmarkStart w:id="2" w:name="OLE_LINK9"/>
      <w:bookmarkStart w:id="3" w:name="OLE_LINK10"/>
      <w:bookmarkEnd w:id="0"/>
      <w:bookmarkEnd w:id="1"/>
      <w:r w:rsidRPr="00386DE7">
        <w:rPr>
          <w:rFonts w:asciiTheme="majorHAnsi" w:eastAsia="Times New Roman" w:hAnsiTheme="majorHAnsi" w:cs="Times New Roman"/>
          <w:b/>
          <w:bCs/>
          <w:sz w:val="24"/>
          <w:szCs w:val="24"/>
          <w:lang w:eastAsia="fr-FR"/>
        </w:rPr>
        <w:t xml:space="preserve">Rabat, </w:t>
      </w:r>
      <w:r w:rsidR="002642BD" w:rsidRPr="00386DE7">
        <w:rPr>
          <w:rFonts w:asciiTheme="majorHAnsi" w:eastAsia="Times New Roman" w:hAnsiTheme="majorHAnsi" w:cs="Times New Roman"/>
          <w:b/>
          <w:bCs/>
          <w:sz w:val="24"/>
          <w:szCs w:val="24"/>
          <w:lang w:eastAsia="fr-FR"/>
        </w:rPr>
        <w:t>9-11</w:t>
      </w:r>
      <w:r w:rsidR="003C074F" w:rsidRPr="00386DE7">
        <w:rPr>
          <w:rFonts w:asciiTheme="majorHAnsi" w:eastAsia="Times New Roman" w:hAnsiTheme="majorHAnsi" w:cs="Times New Roman"/>
          <w:b/>
          <w:bCs/>
          <w:sz w:val="24"/>
          <w:szCs w:val="24"/>
          <w:lang w:eastAsia="fr-FR"/>
        </w:rPr>
        <w:t xml:space="preserve"> mai </w:t>
      </w:r>
      <w:r w:rsidRPr="00386DE7">
        <w:rPr>
          <w:rFonts w:asciiTheme="majorHAnsi" w:eastAsia="Times New Roman" w:hAnsiTheme="majorHAnsi" w:cs="Times New Roman"/>
          <w:b/>
          <w:bCs/>
          <w:sz w:val="24"/>
          <w:szCs w:val="24"/>
          <w:lang w:eastAsia="fr-FR"/>
        </w:rPr>
        <w:t xml:space="preserve"> 2012</w:t>
      </w:r>
    </w:p>
    <w:bookmarkEnd w:id="2"/>
    <w:bookmarkEnd w:id="3"/>
    <w:p w:rsidR="00386DE7" w:rsidRPr="00386DE7" w:rsidRDefault="00386DE7" w:rsidP="00386DE7">
      <w:pPr>
        <w:spacing w:before="100" w:beforeAutospacing="1" w:after="240" w:line="240" w:lineRule="auto"/>
        <w:ind w:left="284" w:right="118"/>
        <w:jc w:val="center"/>
        <w:rPr>
          <w:rFonts w:asciiTheme="majorHAnsi" w:eastAsia="Times New Roman" w:hAnsiTheme="majorHAnsi" w:cs="Times New Roman"/>
          <w:sz w:val="24"/>
          <w:szCs w:val="24"/>
          <w:lang w:eastAsia="fr-FR"/>
        </w:rPr>
      </w:pPr>
    </w:p>
    <w:p w:rsidR="00C36F19" w:rsidRPr="00C36F19" w:rsidRDefault="00C36F19" w:rsidP="000F4FFB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Les s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ociétés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d’Afrique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comme 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celles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d'autres parties du monde,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dépendent de plus en plus des technologies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l’information et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de communication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sont donc vulnérables aux menaces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cyber espace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telles que la cybercriminalité.</w:t>
      </w:r>
    </w:p>
    <w:p w:rsidR="000F2338" w:rsidRDefault="000F2338" w:rsidP="00CF0CDE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criminels, </w:t>
      </w:r>
      <w:r w:rsidR="00C36F19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les groupes du crime org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anisé et les terroristes recourent en effet de plus en plus au </w:t>
      </w:r>
      <w:r w:rsidR="00C36F19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potentiel des TIC pour faciliter leurs crimes. En attendant, les consommateurs hésitent à transmettre des données personnelles et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à effectuer des transactions sur le net</w:t>
      </w:r>
      <w:r w:rsidR="00C36F19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</w:t>
      </w:r>
      <w:r w:rsidR="00C36F19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sécurité et la confidentialité </w:t>
      </w:r>
      <w:r w:rsid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étant </w:t>
      </w:r>
      <w:r w:rsidR="00C36F19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leur</w:t>
      </w:r>
      <w:r w:rsid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C36F19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préoccupation</w:t>
      </w:r>
      <w:r w:rsidR="007D40B8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C36F19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majeures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 De même</w:t>
      </w:r>
      <w:r w:rsidR="007D40B8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6F19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les entreprises subissent des pertes importantes de données propriétaires, la propriété intellectuelle et l'accès en ligne aux clients et fournisseurs en raison de failles de sécurité.</w:t>
      </w:r>
    </w:p>
    <w:p w:rsidR="00C36F19" w:rsidRPr="00C36F19" w:rsidRDefault="00C36F19" w:rsidP="00FC768B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Sans des lois pénales et règlements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5153B">
        <w:rPr>
          <w:rFonts w:ascii="Times New Roman" w:eastAsia="Times New Roman" w:hAnsi="Times New Roman" w:cs="Times New Roman"/>
          <w:sz w:val="24"/>
          <w:szCs w:val="24"/>
          <w:lang w:eastAsia="fr-FR"/>
        </w:rPr>
        <w:t>appropriés,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ainsi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 la capacité d'application </w:t>
      </w:r>
      <w:r w:rsidR="007D40B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es lois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d'enquêter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de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coopérer au plan international, les économies peuvent devenir attractives comme des paradis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des centres de blanchiment d'argent 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les criminels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les activités terroristes. </w:t>
      </w:r>
    </w:p>
    <w:p w:rsidR="00C36F19" w:rsidRPr="00C36F19" w:rsidRDefault="00C36F19" w:rsidP="005A5E27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que les TIC puissent contribuer à la croissance économique, 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développement humain, 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la démocratisation, elles doivent être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fiable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sécurisé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>es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. Un manque de confiance et de sécurité compromet de nombreux développements qui po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urraient être soutenus par une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économie d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 savoir largement accessible, </w:t>
      </w:r>
      <w:r w:rsidR="007D40B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qui bénéficie </w:t>
      </w:r>
      <w:r w:rsidR="007D40B8">
        <w:rPr>
          <w:rFonts w:ascii="Times New Roman" w:eastAsia="Times New Roman" w:hAnsi="Times New Roman" w:cs="Times New Roman"/>
          <w:sz w:val="24"/>
          <w:szCs w:val="24"/>
          <w:lang w:eastAsia="fr-FR"/>
        </w:rPr>
        <w:t>pleinement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la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confiance de 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>la société</w:t>
      </w:r>
      <w:r w:rsidR="007D40B8">
        <w:rPr>
          <w:rFonts w:ascii="Times New Roman" w:eastAsia="Times New Roman" w:hAnsi="Times New Roman" w:cs="Times New Roman"/>
          <w:sz w:val="24"/>
          <w:szCs w:val="24"/>
          <w:lang w:eastAsia="fr-FR"/>
        </w:rPr>
        <w:t>. Les enjeux portent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notamment </w:t>
      </w:r>
      <w:r w:rsidR="007D40B8">
        <w:rPr>
          <w:rFonts w:ascii="Times New Roman" w:eastAsia="Times New Roman" w:hAnsi="Times New Roman" w:cs="Times New Roman"/>
          <w:sz w:val="24"/>
          <w:szCs w:val="24"/>
          <w:lang w:eastAsia="fr-FR"/>
        </w:rPr>
        <w:t>sur</w:t>
      </w:r>
      <w:r w:rsidR="000F2338">
        <w:rPr>
          <w:rFonts w:ascii="Times New Roman" w:eastAsia="Times New Roman" w:hAnsi="Times New Roman" w:cs="Times New Roman"/>
          <w:sz w:val="24"/>
          <w:szCs w:val="24"/>
          <w:lang w:eastAsia="fr-FR"/>
        </w:rPr>
        <w:t> :</w:t>
      </w:r>
    </w:p>
    <w:p w:rsidR="00C36F19" w:rsidRDefault="000F2338" w:rsidP="00386DE7">
      <w:pPr>
        <w:pStyle w:val="Paragraphedeliste"/>
        <w:numPr>
          <w:ilvl w:val="0"/>
          <w:numId w:val="1"/>
        </w:numPr>
        <w:spacing w:after="12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croissance du e-commerce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 les entreprises et entre entreprises et consommateurs. </w:t>
      </w:r>
    </w:p>
    <w:p w:rsidR="00386DE7" w:rsidRPr="00386DE7" w:rsidRDefault="00386DE7" w:rsidP="00386DE7">
      <w:pPr>
        <w:pStyle w:val="Paragraphedeliste"/>
        <w:spacing w:after="120" w:line="240" w:lineRule="auto"/>
        <w:ind w:left="100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86DE7" w:rsidRDefault="000F2338" w:rsidP="00FC768B">
      <w:pPr>
        <w:pStyle w:val="Paragraphedeliste"/>
        <w:numPr>
          <w:ilvl w:val="0"/>
          <w:numId w:val="1"/>
        </w:num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L’a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ttraction des investissements étrangers nécessaires à la création d'entreprise, la modernisation des infrastructures et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l’innovation qui sont aussi tributaires d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es systèmes juridiques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sont sensibles aux problèmes de sécurité informatique. </w:t>
      </w:r>
    </w:p>
    <w:p w:rsidR="0048419F" w:rsidRPr="0048419F" w:rsidRDefault="0048419F" w:rsidP="0048419F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8419F" w:rsidRDefault="000F2338" w:rsidP="00FC768B">
      <w:pPr>
        <w:pStyle w:val="Paragraphedeliste"/>
        <w:numPr>
          <w:ilvl w:val="0"/>
          <w:numId w:val="1"/>
        </w:numPr>
        <w:spacing w:after="24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L’e</w:t>
      </w:r>
      <w:r w:rsidR="003234B6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-gouvernement et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efforts visant à rendre le gouvernement plus réactif et plus accessible sont menacés par des problèmes de sécurité et de la crainte d'abus. </w:t>
      </w:r>
    </w:p>
    <w:p w:rsidR="0048419F" w:rsidRPr="0048419F" w:rsidRDefault="0048419F" w:rsidP="0048419F">
      <w:pPr>
        <w:pStyle w:val="Paragraphedelist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36F19" w:rsidRDefault="003234B6" w:rsidP="00636809">
      <w:pPr>
        <w:pStyle w:val="Paragraphedeliste"/>
        <w:numPr>
          <w:ilvl w:val="0"/>
          <w:numId w:val="1"/>
        </w:num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création d'emplois et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le développeme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nt de «services back-office» par l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es e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ntreprises mondiales </w:t>
      </w:r>
      <w:r w:rsidR="007D40B8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qui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cherchent des c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oûts salariaux plus bas pour la saisi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</w:t>
      </w:r>
      <w:r w:rsidR="007D40B8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le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traitement des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données, seront freinés dans les pays sans lois sur la protection des données à caractère personnel.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48419F" w:rsidRPr="0048419F" w:rsidRDefault="0048419F" w:rsidP="0048419F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36F19" w:rsidRPr="00386DE7" w:rsidRDefault="003234B6" w:rsidP="00636809">
      <w:pPr>
        <w:pStyle w:val="Paragraphedeliste"/>
        <w:numPr>
          <w:ilvl w:val="0"/>
          <w:numId w:val="1"/>
        </w:numPr>
        <w:spacing w:after="12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sécurité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des infrastructures essentielles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production </w:t>
      </w:r>
      <w:r w:rsidR="0063680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la distribution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d’énergie,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transports, banques</w:t>
      </w:r>
      <w:r w:rsidR="00636809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D40B8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opérations de soins de santé sont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plus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plus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dépendants des systèmes d'information. </w:t>
      </w:r>
    </w:p>
    <w:p w:rsidR="00036939" w:rsidRDefault="00036939" w:rsidP="00FC768B">
      <w:pPr>
        <w:pStyle w:val="Paragraphedeliste"/>
        <w:numPr>
          <w:ilvl w:val="0"/>
          <w:numId w:val="1"/>
        </w:numPr>
        <w:spacing w:after="12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  <w:sectPr w:rsidR="00036939" w:rsidSect="00647C38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C36F19" w:rsidRDefault="003234B6" w:rsidP="00FC768B">
      <w:pPr>
        <w:pStyle w:val="Paragraphedeliste"/>
        <w:numPr>
          <w:ilvl w:val="0"/>
          <w:numId w:val="1"/>
        </w:numPr>
        <w:spacing w:after="12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La p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rotection de la vie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privée, les données personnelles,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communications et les données stockées sur les entreprises et les individus doivent être protégés à la fois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contre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l'interception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illégale, et contre l’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accès et la surveillance arbitraire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48419F" w:rsidRPr="00386DE7" w:rsidRDefault="0048419F" w:rsidP="0048419F">
      <w:pPr>
        <w:pStyle w:val="Paragraphedeliste"/>
        <w:spacing w:after="120" w:line="240" w:lineRule="auto"/>
        <w:ind w:left="100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8419F" w:rsidRDefault="00C36F19" w:rsidP="00FC768B">
      <w:pPr>
        <w:pStyle w:val="Paragraphedeliste"/>
        <w:numPr>
          <w:ilvl w:val="0"/>
          <w:numId w:val="1"/>
        </w:num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Les centres de développement des soins</w:t>
      </w:r>
      <w:r w:rsidR="003234B6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</w:t>
      </w:r>
      <w:r w:rsidR="003234B6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la télémédecine et la santé dans lesquels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</w:t>
      </w:r>
      <w:r w:rsidR="003234B6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utilisateurs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ne feront pas confiance </w:t>
      </w:r>
      <w:r w:rsidR="003234B6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ce qui concerne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leurs informations </w:t>
      </w:r>
      <w:r w:rsidR="00940962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médicales,</w:t>
      </w:r>
      <w:r w:rsidR="003234B6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dans un milieu précaire de communications. </w:t>
      </w:r>
    </w:p>
    <w:p w:rsidR="0048419F" w:rsidRPr="0048419F" w:rsidRDefault="0048419F" w:rsidP="0048419F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36F19" w:rsidRDefault="003234B6" w:rsidP="0048419F">
      <w:pPr>
        <w:pStyle w:val="Paragraphedeliste"/>
        <w:numPr>
          <w:ilvl w:val="0"/>
          <w:numId w:val="1"/>
        </w:num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L’u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tilisation des technologies de l'information pour l'apprentissage à </w:t>
      </w:r>
      <w:r w:rsidR="00940962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distance,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services de recherche d’emploi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, l'amélior</w:t>
      </w:r>
      <w:r w:rsidR="00097E5B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ation des compétences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et le développement des petites et moyennes entreprises. </w:t>
      </w:r>
    </w:p>
    <w:p w:rsidR="0048419F" w:rsidRPr="0048419F" w:rsidRDefault="0048419F" w:rsidP="0048419F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8419F" w:rsidRDefault="007D40B8" w:rsidP="00FC768B">
      <w:pPr>
        <w:pStyle w:val="Paragraphedeliste"/>
        <w:numPr>
          <w:ilvl w:val="0"/>
          <w:numId w:val="1"/>
        </w:numPr>
        <w:spacing w:after="12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 vu de ces enjeux,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la CEA a r</w:t>
      </w:r>
      <w:r w:rsidR="00097E5B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econnu la nécessité de relever l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défi </w:t>
      </w:r>
      <w:r w:rsidR="00097E5B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la </w:t>
      </w:r>
      <w:r w:rsidR="00FC768B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cybersécurité</w:t>
      </w:r>
      <w:r w:rsidR="00097E5B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 niveau national sous-régional et régional. </w:t>
      </w:r>
    </w:p>
    <w:p w:rsidR="0048419F" w:rsidRPr="0048419F" w:rsidRDefault="0048419F" w:rsidP="0048419F">
      <w:pPr>
        <w:pStyle w:val="Paragraphedelist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36F19" w:rsidRPr="00386DE7" w:rsidRDefault="00097E5B" w:rsidP="00636809">
      <w:pPr>
        <w:pStyle w:val="Paragraphedeliste"/>
        <w:numPr>
          <w:ilvl w:val="0"/>
          <w:numId w:val="1"/>
        </w:numPr>
        <w:spacing w:after="12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Dans ce contexte</w:t>
      </w:r>
      <w:r w:rsidR="007D40B8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21E56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bureau de la CEA pour l’Afrique du Nord, la division des TIC et des Science et Technologies (ISTD)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collaboration avec le Conseil de l'Europe (COE), Microsoft et le CNRST, ont organisé en Juillet 2010 à Rabat, un atelier sur l'harmonisation du cadre légal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 cyber sécurité en Afrique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Nord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. L’atelier a permis,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entre autre</w:t>
      </w:r>
      <w:r w:rsidR="007D40B8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l’identification des besoins pour un</w:t>
      </w:r>
      <w:r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réforme </w:t>
      </w:r>
      <w:proofErr w:type="gramStart"/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>de la</w:t>
      </w:r>
      <w:proofErr w:type="gramEnd"/>
      <w:r w:rsidR="00C36F19" w:rsidRPr="00386DE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cyber législation dans la région. </w:t>
      </w:r>
    </w:p>
    <w:p w:rsidR="00C36F19" w:rsidRPr="00036939" w:rsidRDefault="00C36F19" w:rsidP="00FC768B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</w:pPr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En guise de suivi</w:t>
      </w:r>
      <w:r w:rsidR="007D40B8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,</w:t>
      </w:r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 la CEA organise</w:t>
      </w:r>
      <w:r w:rsidR="0005153B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 </w:t>
      </w:r>
      <w:r w:rsidR="00940962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en collaboration </w:t>
      </w:r>
      <w:r w:rsidR="00086424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avec le Secrétariat Général de </w:t>
      </w:r>
      <w:r w:rsidR="00940962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l’Union du Maghreb Arabe (UMA)</w:t>
      </w:r>
      <w:r w:rsidR="00086424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,</w:t>
      </w:r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 un atelier sur l'harmonisation </w:t>
      </w:r>
      <w:proofErr w:type="gramStart"/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de</w:t>
      </w:r>
      <w:r w:rsidR="00864EE6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 </w:t>
      </w:r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la</w:t>
      </w:r>
      <w:proofErr w:type="gramEnd"/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 cyber législation</w:t>
      </w:r>
      <w:r w:rsidR="00097E5B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 au </w:t>
      </w:r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Maghreb, avec un accent particulier sur </w:t>
      </w:r>
      <w:r w:rsidR="00097E5B" w:rsidRPr="00036939">
        <w:rPr>
          <w:rFonts w:ascii="Cambria Math" w:eastAsia="Times New Roman" w:hAnsi="Cambria Math" w:cs="Cambria Math"/>
          <w:b/>
          <w:bCs/>
          <w:color w:val="1F497D" w:themeColor="text2"/>
          <w:sz w:val="24"/>
          <w:szCs w:val="24"/>
          <w:lang w:eastAsia="fr-FR"/>
        </w:rPr>
        <w:t xml:space="preserve">l’examen et la discussion </w:t>
      </w:r>
      <w:r w:rsidR="00097E5B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du</w:t>
      </w:r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 projet de </w:t>
      </w:r>
      <w:r w:rsidR="003C074F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lignes directrices sous </w:t>
      </w:r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régionale</w:t>
      </w:r>
      <w:r w:rsidR="003C074F"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>s</w:t>
      </w:r>
      <w:r w:rsidRPr="00036939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fr-FR"/>
        </w:rPr>
        <w:t xml:space="preserve"> pour la cyber sécurité. </w:t>
      </w:r>
    </w:p>
    <w:p w:rsidR="00C36F19" w:rsidRPr="0048419F" w:rsidRDefault="00C36F19" w:rsidP="0048419F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fr-FR"/>
        </w:rPr>
      </w:pPr>
      <w:r w:rsidRPr="0048419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8"/>
          <w:szCs w:val="28"/>
          <w:lang w:eastAsia="fr-FR"/>
        </w:rPr>
        <w:t>Objectifs</w:t>
      </w:r>
      <w:r w:rsidRPr="0048419F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fr-FR"/>
        </w:rPr>
        <w:t xml:space="preserve"> </w:t>
      </w:r>
    </w:p>
    <w:p w:rsidR="00C36F19" w:rsidRPr="00C36F19" w:rsidRDefault="00C36F19" w:rsidP="00FC768B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L'objectif de l'atelier est de soutenir le renforcement </w:t>
      </w:r>
      <w:proofErr w:type="gramStart"/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de la</w:t>
      </w:r>
      <w:proofErr w:type="gramEnd"/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cyber législation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les pays du Maghreb en conformité avec les normes internationales. </w:t>
      </w:r>
      <w:r w:rsidR="00097E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Il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vise </w:t>
      </w:r>
      <w:r w:rsidR="00097E5B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aider les pays du Maghreb </w:t>
      </w:r>
      <w:r w:rsidR="007D40B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à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r</w:t>
      </w:r>
      <w:r w:rsidR="00097E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especter leurs engagements vis-à-vis du Sommet mondial sur la Société de l’information (SMSI), et pour ce,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s'efforcer d'adopter des cadres juridiques pour renforcer la </w:t>
      </w:r>
      <w:r w:rsidR="000D54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cybersécurité et la 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confiance</w:t>
      </w:r>
      <w:r w:rsidR="00097E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la société de l’information et l’économie du savoir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L'atelier permettra également d'aider les participants </w:t>
      </w:r>
      <w:r w:rsidR="000D54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à mieux </w:t>
      </w:r>
      <w:r w:rsidR="00097E5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rédiger </w:t>
      </w:r>
      <w:r w:rsidR="0094096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 </w:t>
      </w:r>
      <w:r w:rsidR="00940962"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>législations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la cybercriminalité, les transactions électroniques, et la protect</w:t>
      </w:r>
      <w:r w:rsidR="00097E5B">
        <w:rPr>
          <w:rFonts w:ascii="Times New Roman" w:eastAsia="Times New Roman" w:hAnsi="Times New Roman" w:cs="Times New Roman"/>
          <w:sz w:val="24"/>
          <w:szCs w:val="24"/>
          <w:lang w:eastAsia="fr-FR"/>
        </w:rPr>
        <w:t>ion des données personnelles en harmonie avec ce qui se fait à l’échelle internationale et régionale.</w:t>
      </w:r>
    </w:p>
    <w:p w:rsidR="00C36F19" w:rsidRPr="0048419F" w:rsidRDefault="00C36F19" w:rsidP="00386DE7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fr-FR"/>
        </w:rPr>
      </w:pPr>
      <w:r w:rsidRPr="0048419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8"/>
          <w:szCs w:val="28"/>
          <w:lang w:eastAsia="fr-FR"/>
        </w:rPr>
        <w:t>Les participants</w:t>
      </w:r>
      <w:r w:rsidRPr="0048419F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fr-FR"/>
        </w:rPr>
        <w:t xml:space="preserve"> </w:t>
      </w:r>
    </w:p>
    <w:p w:rsidR="00C36F19" w:rsidRDefault="00C36F19" w:rsidP="00386DE7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délégations comprennent des experts en cyberlégislation des </w:t>
      </w:r>
      <w:r w:rsidR="000D54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départements des TIC, de la </w:t>
      </w:r>
      <w:r w:rsidR="00097E5B">
        <w:rPr>
          <w:rFonts w:ascii="Times New Roman" w:eastAsia="Times New Roman" w:hAnsi="Times New Roman" w:cs="Times New Roman"/>
          <w:sz w:val="24"/>
          <w:szCs w:val="24"/>
          <w:lang w:eastAsia="fr-FR"/>
        </w:rPr>
        <w:t>justice,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Commerce, </w:t>
      </w:r>
      <w:r w:rsidR="00097E5B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0D541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application de la loi, les décideurs, y compris des experts des organes législatifs, les tribunaux et les universités. </w:t>
      </w:r>
    </w:p>
    <w:p w:rsidR="007E568D" w:rsidRPr="00C36F19" w:rsidRDefault="007E568D" w:rsidP="00386DE7">
      <w:pPr>
        <w:spacing w:before="100" w:beforeAutospacing="1" w:after="100" w:afterAutospacing="1" w:line="240" w:lineRule="auto"/>
        <w:ind w:left="284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419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8"/>
          <w:szCs w:val="28"/>
          <w:lang w:eastAsia="fr-FR"/>
        </w:rPr>
        <w:t>Langue de travail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r w:rsidR="002642BD" w:rsidRPr="00647C38">
        <w:rPr>
          <w:rFonts w:ascii="Times New Roman" w:eastAsia="Times New Roman" w:hAnsi="Times New Roman" w:cs="Times New Roman"/>
          <w:sz w:val="24"/>
          <w:szCs w:val="24"/>
          <w:lang w:eastAsia="fr-FR"/>
        </w:rPr>
        <w:t>Arabe</w:t>
      </w:r>
      <w:r w:rsidR="002642BD" w:rsidRPr="00BA270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2642B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Français</w:t>
      </w:r>
    </w:p>
    <w:p w:rsidR="008A21EC" w:rsidRPr="00036939" w:rsidRDefault="00B3292C" w:rsidP="0048419F">
      <w:pPr>
        <w:spacing w:after="0" w:line="240" w:lineRule="auto"/>
        <w:ind w:left="284" w:right="118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</w:pPr>
      <w:r w:rsidRPr="0048419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8"/>
          <w:szCs w:val="28"/>
          <w:lang w:eastAsia="fr-FR"/>
        </w:rPr>
        <w:t>Lieu</w:t>
      </w:r>
      <w:r w:rsidRPr="008A21EC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: </w:t>
      </w:r>
      <w:r w:rsidR="0048419F">
        <w:rPr>
          <w:rFonts w:ascii="Times New Roman" w:eastAsia="Times New Roman" w:hAnsi="Times New Roman" w:cs="Times New Roman"/>
          <w:sz w:val="28"/>
          <w:szCs w:val="28"/>
          <w:lang w:eastAsia="fr-FR"/>
        </w:rPr>
        <w:tab/>
      </w:r>
      <w:r w:rsidR="008A21EC"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>Centre National pour la recherche Scientifique et Technique (CNRST)</w:t>
      </w:r>
    </w:p>
    <w:p w:rsidR="008A21EC" w:rsidRPr="00036939" w:rsidRDefault="008A21EC" w:rsidP="0048419F">
      <w:pPr>
        <w:spacing w:after="0" w:line="240" w:lineRule="auto"/>
        <w:ind w:left="284" w:right="118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</w:pPr>
      <w:r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ab/>
      </w:r>
      <w:r w:rsidR="0048419F"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ab/>
      </w:r>
      <w:r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>Angle Av. Allal Al Fassi et Av. des FAR Hay Ryad</w:t>
      </w:r>
      <w:r w:rsidR="00647C38"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 xml:space="preserve"> </w:t>
      </w:r>
      <w:r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>Rabat – Maroc</w:t>
      </w:r>
    </w:p>
    <w:p w:rsidR="00647C38" w:rsidRPr="00036939" w:rsidRDefault="008A21EC" w:rsidP="0048419F">
      <w:pPr>
        <w:spacing w:after="0" w:line="240" w:lineRule="auto"/>
        <w:ind w:left="284" w:right="118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</w:pPr>
      <w:r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 xml:space="preserve"> </w:t>
      </w:r>
      <w:r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ab/>
      </w:r>
      <w:r w:rsidR="0048419F"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ab/>
      </w:r>
      <w:r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>Tél.: +212 537 5698 12 - Fax: +212 537 56 98 11</w:t>
      </w:r>
    </w:p>
    <w:p w:rsidR="00B22F22" w:rsidRDefault="00C36F19" w:rsidP="0048419F">
      <w:pPr>
        <w:spacing w:before="100" w:beforeAutospacing="1" w:after="100" w:afterAutospacing="1" w:line="240" w:lineRule="auto"/>
        <w:ind w:left="284" w:right="118"/>
        <w:jc w:val="both"/>
      </w:pPr>
      <w:r w:rsidRPr="0048419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8"/>
          <w:szCs w:val="28"/>
          <w:lang w:eastAsia="fr-FR"/>
        </w:rPr>
        <w:t>Date</w:t>
      </w:r>
      <w:r w:rsidR="007E568D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 : </w:t>
      </w:r>
      <w:r w:rsidR="0048419F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ab/>
      </w:r>
      <w:r w:rsidR="002642BD"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>9-11</w:t>
      </w:r>
      <w:r w:rsidR="003C074F"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 xml:space="preserve"> mai </w:t>
      </w:r>
      <w:r w:rsidRPr="00036939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fr-FR"/>
        </w:rPr>
        <w:t>2012</w:t>
      </w:r>
      <w:r w:rsidRPr="00C36F1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sectPr w:rsidR="00B22F22" w:rsidSect="00036939">
      <w:pgSz w:w="11906" w:h="16838"/>
      <w:pgMar w:top="113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EA0" w:rsidRDefault="002A6EA0" w:rsidP="00901CC0">
      <w:pPr>
        <w:spacing w:after="0" w:line="240" w:lineRule="auto"/>
      </w:pPr>
      <w:r>
        <w:separator/>
      </w:r>
    </w:p>
  </w:endnote>
  <w:endnote w:type="continuationSeparator" w:id="0">
    <w:p w:rsidR="002A6EA0" w:rsidRDefault="002A6EA0" w:rsidP="0090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93063"/>
      <w:docPartObj>
        <w:docPartGallery w:val="Page Numbers (Bottom of Page)"/>
        <w:docPartUnique/>
      </w:docPartObj>
    </w:sdtPr>
    <w:sdtContent>
      <w:p w:rsidR="00901CC0" w:rsidRDefault="00B5055A">
        <w:pPr>
          <w:pStyle w:val="Pieddepage"/>
          <w:jc w:val="right"/>
        </w:pPr>
        <w:fldSimple w:instr=" PAGE   \* MERGEFORMAT ">
          <w:r w:rsidR="00036939">
            <w:rPr>
              <w:noProof/>
            </w:rPr>
            <w:t>2</w:t>
          </w:r>
        </w:fldSimple>
      </w:p>
    </w:sdtContent>
  </w:sdt>
  <w:p w:rsidR="00901CC0" w:rsidRDefault="00901CC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EA0" w:rsidRDefault="002A6EA0" w:rsidP="00901CC0">
      <w:pPr>
        <w:spacing w:after="0" w:line="240" w:lineRule="auto"/>
      </w:pPr>
      <w:r>
        <w:separator/>
      </w:r>
    </w:p>
  </w:footnote>
  <w:footnote w:type="continuationSeparator" w:id="0">
    <w:p w:rsidR="002A6EA0" w:rsidRDefault="002A6EA0" w:rsidP="00901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14C0"/>
    <w:multiLevelType w:val="hybridMultilevel"/>
    <w:tmpl w:val="1FBE09C2"/>
    <w:lvl w:ilvl="0" w:tplc="3314D7B6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F1B4CEC"/>
    <w:multiLevelType w:val="hybridMultilevel"/>
    <w:tmpl w:val="016E46B0"/>
    <w:lvl w:ilvl="0" w:tplc="440AA9E6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943634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F19"/>
    <w:rsid w:val="00001888"/>
    <w:rsid w:val="00036939"/>
    <w:rsid w:val="0005153B"/>
    <w:rsid w:val="00086424"/>
    <w:rsid w:val="0008730E"/>
    <w:rsid w:val="00097E5B"/>
    <w:rsid w:val="000D5419"/>
    <w:rsid w:val="000F06FA"/>
    <w:rsid w:val="000F2338"/>
    <w:rsid w:val="000F4FFB"/>
    <w:rsid w:val="00120AD2"/>
    <w:rsid w:val="0013545E"/>
    <w:rsid w:val="00146318"/>
    <w:rsid w:val="0015542D"/>
    <w:rsid w:val="001B705B"/>
    <w:rsid w:val="00222731"/>
    <w:rsid w:val="002642BD"/>
    <w:rsid w:val="00287C32"/>
    <w:rsid w:val="002A4165"/>
    <w:rsid w:val="002A6EA0"/>
    <w:rsid w:val="002E13B9"/>
    <w:rsid w:val="003234B6"/>
    <w:rsid w:val="00385101"/>
    <w:rsid w:val="00386DE7"/>
    <w:rsid w:val="003B1C59"/>
    <w:rsid w:val="003C074F"/>
    <w:rsid w:val="0048419F"/>
    <w:rsid w:val="00494F0A"/>
    <w:rsid w:val="004B4A6A"/>
    <w:rsid w:val="004C5E5F"/>
    <w:rsid w:val="004E59DB"/>
    <w:rsid w:val="00504138"/>
    <w:rsid w:val="00564A3E"/>
    <w:rsid w:val="005A5E27"/>
    <w:rsid w:val="00636809"/>
    <w:rsid w:val="00647C38"/>
    <w:rsid w:val="0068114E"/>
    <w:rsid w:val="006B28B5"/>
    <w:rsid w:val="006B7167"/>
    <w:rsid w:val="006F5894"/>
    <w:rsid w:val="007366F2"/>
    <w:rsid w:val="007859E3"/>
    <w:rsid w:val="007931FF"/>
    <w:rsid w:val="007A0E52"/>
    <w:rsid w:val="007D40B8"/>
    <w:rsid w:val="007D64C8"/>
    <w:rsid w:val="007E568D"/>
    <w:rsid w:val="0080677C"/>
    <w:rsid w:val="00811CA3"/>
    <w:rsid w:val="00864EE6"/>
    <w:rsid w:val="008A21EC"/>
    <w:rsid w:val="00901CC0"/>
    <w:rsid w:val="009272C1"/>
    <w:rsid w:val="00940962"/>
    <w:rsid w:val="00967602"/>
    <w:rsid w:val="009C523B"/>
    <w:rsid w:val="009E5576"/>
    <w:rsid w:val="00A21E56"/>
    <w:rsid w:val="00A36672"/>
    <w:rsid w:val="00A95329"/>
    <w:rsid w:val="00AA1C8C"/>
    <w:rsid w:val="00AA1E31"/>
    <w:rsid w:val="00AA6BAE"/>
    <w:rsid w:val="00B22F22"/>
    <w:rsid w:val="00B3292C"/>
    <w:rsid w:val="00B5055A"/>
    <w:rsid w:val="00BA2703"/>
    <w:rsid w:val="00BE4505"/>
    <w:rsid w:val="00C114F1"/>
    <w:rsid w:val="00C36F19"/>
    <w:rsid w:val="00C76B2C"/>
    <w:rsid w:val="00CF0CDE"/>
    <w:rsid w:val="00CF3D5D"/>
    <w:rsid w:val="00D63608"/>
    <w:rsid w:val="00E14887"/>
    <w:rsid w:val="00E3201E"/>
    <w:rsid w:val="00E668D3"/>
    <w:rsid w:val="00ED1A21"/>
    <w:rsid w:val="00F6036D"/>
    <w:rsid w:val="00F6056E"/>
    <w:rsid w:val="00F8449B"/>
    <w:rsid w:val="00F92CC9"/>
    <w:rsid w:val="00FC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F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6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gende">
    <w:name w:val="caption"/>
    <w:basedOn w:val="Normal"/>
    <w:next w:val="Normal"/>
    <w:uiPriority w:val="99"/>
    <w:qFormat/>
    <w:rsid w:val="00901CC0"/>
    <w:pPr>
      <w:spacing w:after="0" w:line="240" w:lineRule="auto"/>
      <w:jc w:val="center"/>
    </w:pPr>
    <w:rPr>
      <w:rFonts w:ascii="Tahoma" w:eastAsia="Times New Roman" w:hAnsi="Tahoma" w:cs="Tahoma"/>
      <w:i/>
      <w:iCs/>
      <w:spacing w:val="-2"/>
      <w:sz w:val="24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1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1CC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901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01CC0"/>
  </w:style>
  <w:style w:type="paragraph" w:styleId="Pieddepage">
    <w:name w:val="footer"/>
    <w:basedOn w:val="Normal"/>
    <w:link w:val="PieddepageCar"/>
    <w:uiPriority w:val="99"/>
    <w:unhideWhenUsed/>
    <w:rsid w:val="00901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1CC0"/>
  </w:style>
  <w:style w:type="paragraph" w:styleId="Paragraphedeliste">
    <w:name w:val="List Paragraph"/>
    <w:basedOn w:val="Normal"/>
    <w:uiPriority w:val="34"/>
    <w:qFormat/>
    <w:rsid w:val="00386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1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31</cp:revision>
  <cp:lastPrinted>2012-05-08T15:44:00Z</cp:lastPrinted>
  <dcterms:created xsi:type="dcterms:W3CDTF">2012-03-12T12:39:00Z</dcterms:created>
  <dcterms:modified xsi:type="dcterms:W3CDTF">2012-05-08T16:17:00Z</dcterms:modified>
</cp:coreProperties>
</file>