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310" w:rsidRDefault="00496AC7" w:rsidP="00BB7154">
      <w:pPr>
        <w:ind w:left="-426"/>
        <w:jc w:val="both"/>
        <w:rPr>
          <w:b/>
          <w:lang w:val="fr-FR"/>
        </w:rPr>
      </w:pPr>
      <w:r w:rsidRPr="00496AC7">
        <w:rPr>
          <w:rFonts w:ascii="Cambria" w:hAnsi="Cambria"/>
          <w:b/>
          <w:bCs/>
          <w:i/>
          <w:iCs/>
          <w:noProof/>
          <w:sz w:val="20"/>
        </w:rPr>
        <w:pict>
          <v:shapetype id="_x0000_t202" coordsize="21600,21600" o:spt="202" path="m,l,21600r21600,l21600,xe">
            <v:stroke joinstyle="miter"/>
            <v:path gradientshapeok="t" o:connecttype="rect"/>
          </v:shapetype>
          <v:shape id="_x0000_s1027" type="#_x0000_t202" style="position:absolute;left:0;text-align:left;margin-left:379.1pt;margin-top:-3.15pt;width:128.25pt;height:90pt;z-index:251659264" filled="f" stroked="f">
            <v:textbox style="mso-next-textbox:#_x0000_s1027">
              <w:txbxContent>
                <w:p w:rsidR="0032463F" w:rsidRPr="00223066" w:rsidRDefault="003D5B18" w:rsidP="0032463F">
                  <w:pPr>
                    <w:rPr>
                      <w:rFonts w:ascii="Palatino Linotype" w:hAnsi="Palatino Linotype"/>
                      <w:sz w:val="22"/>
                      <w:szCs w:val="22"/>
                    </w:rPr>
                  </w:pPr>
                  <w:r w:rsidRPr="00223066">
                    <w:rPr>
                      <w:rFonts w:ascii="Palatino Linotype" w:hAnsi="Palatino Linotype"/>
                      <w:sz w:val="22"/>
                      <w:szCs w:val="22"/>
                    </w:rPr>
                    <w:t>Distr.: GENERALE</w:t>
                  </w:r>
                </w:p>
                <w:p w:rsidR="0032463F" w:rsidRPr="00223066" w:rsidRDefault="001C3050" w:rsidP="0032463F">
                  <w:pPr>
                    <w:rPr>
                      <w:rFonts w:ascii="Palatino Linotype" w:hAnsi="Palatino Linotype"/>
                      <w:sz w:val="22"/>
                      <w:szCs w:val="22"/>
                    </w:rPr>
                  </w:pPr>
                  <w:r w:rsidRPr="00223066">
                    <w:rPr>
                      <w:rFonts w:ascii="Palatino Linotype" w:hAnsi="Palatino Linotype"/>
                      <w:sz w:val="22"/>
                      <w:szCs w:val="22"/>
                    </w:rPr>
                    <w:t>CEA-AN/AH/OIGs/1</w:t>
                  </w:r>
                </w:p>
                <w:p w:rsidR="003D5B18" w:rsidRDefault="0032463F" w:rsidP="00D257B1">
                  <w:pPr>
                    <w:rPr>
                      <w:rFonts w:ascii="Palatino Linotype" w:hAnsi="Palatino Linotype"/>
                      <w:sz w:val="22"/>
                      <w:szCs w:val="22"/>
                      <w:lang w:val="fr-FR"/>
                    </w:rPr>
                  </w:pPr>
                  <w:r>
                    <w:rPr>
                      <w:rFonts w:ascii="Palatino Linotype" w:hAnsi="Palatino Linotype"/>
                      <w:sz w:val="22"/>
                      <w:szCs w:val="22"/>
                      <w:lang w:val="fr-FR"/>
                    </w:rPr>
                    <w:t>J</w:t>
                  </w:r>
                  <w:r w:rsidR="001C3050" w:rsidRPr="001C3050">
                    <w:rPr>
                      <w:rFonts w:ascii="Palatino Linotype" w:hAnsi="Palatino Linotype"/>
                      <w:sz w:val="22"/>
                      <w:szCs w:val="22"/>
                      <w:lang w:val="fr-FR"/>
                    </w:rPr>
                    <w:t>anvier 201</w:t>
                  </w:r>
                  <w:r>
                    <w:rPr>
                      <w:rFonts w:ascii="Palatino Linotype" w:hAnsi="Palatino Linotype"/>
                      <w:sz w:val="22"/>
                      <w:szCs w:val="22"/>
                      <w:lang w:val="fr-FR"/>
                    </w:rPr>
                    <w:t>3</w:t>
                  </w:r>
                </w:p>
                <w:p w:rsidR="0032463F" w:rsidRPr="0032463F" w:rsidRDefault="0032463F" w:rsidP="0032463F">
                  <w:pPr>
                    <w:rPr>
                      <w:rFonts w:ascii="Palatino Linotype" w:hAnsi="Palatino Linotype"/>
                      <w:sz w:val="22"/>
                      <w:szCs w:val="22"/>
                      <w:lang w:val="fr-FR"/>
                    </w:rPr>
                  </w:pPr>
                </w:p>
                <w:p w:rsidR="0032463F" w:rsidRPr="0032463F" w:rsidRDefault="001C3050" w:rsidP="0032463F">
                  <w:pPr>
                    <w:rPr>
                      <w:rFonts w:ascii="Palatino Linotype" w:hAnsi="Palatino Linotype"/>
                      <w:sz w:val="22"/>
                      <w:szCs w:val="22"/>
                      <w:lang w:val="fr-FR"/>
                    </w:rPr>
                  </w:pPr>
                  <w:r w:rsidRPr="001C3050">
                    <w:rPr>
                      <w:rFonts w:ascii="Palatino Linotype" w:hAnsi="Palatino Linotype"/>
                      <w:sz w:val="22"/>
                      <w:szCs w:val="22"/>
                      <w:lang w:val="fr-FR"/>
                    </w:rPr>
                    <w:t>Original: FRANÇAIS</w:t>
                  </w:r>
                </w:p>
              </w:txbxContent>
            </v:textbox>
          </v:shape>
        </w:pict>
      </w:r>
      <w:r w:rsidR="00BE1CD8">
        <w:rPr>
          <w:b/>
          <w:noProof/>
        </w:rPr>
        <w:drawing>
          <wp:inline distT="0" distB="0" distL="0" distR="0">
            <wp:extent cx="838200" cy="685800"/>
            <wp:effectExtent l="19050" t="0" r="0" b="0"/>
            <wp:docPr id="1"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8"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143310" w:rsidRPr="00A45041" w:rsidRDefault="00143310" w:rsidP="00A8173F">
      <w:pPr>
        <w:spacing w:before="120"/>
        <w:ind w:left="-426"/>
        <w:rPr>
          <w:rFonts w:ascii="Cambria" w:hAnsi="Cambria"/>
          <w:b/>
          <w:bCs/>
          <w:color w:val="31849B" w:themeColor="accent5" w:themeShade="BF"/>
          <w:szCs w:val="32"/>
          <w:lang w:val="fr-FR"/>
        </w:rPr>
      </w:pPr>
      <w:bookmarkStart w:id="0" w:name="OLE_LINK1"/>
      <w:bookmarkStart w:id="1" w:name="OLE_LINK2"/>
      <w:r w:rsidRPr="00A45041">
        <w:rPr>
          <w:rFonts w:ascii="Cambria" w:hAnsi="Cambria"/>
          <w:b/>
          <w:bCs/>
          <w:color w:val="31849B" w:themeColor="accent5" w:themeShade="BF"/>
          <w:szCs w:val="32"/>
          <w:lang w:val="fr-FR"/>
        </w:rPr>
        <w:t>Nations Unies</w:t>
      </w:r>
    </w:p>
    <w:p w:rsidR="00143310" w:rsidRPr="00A45041" w:rsidRDefault="00143310" w:rsidP="00BB7154">
      <w:pPr>
        <w:tabs>
          <w:tab w:val="center" w:pos="4819"/>
        </w:tabs>
        <w:ind w:left="-426"/>
        <w:rPr>
          <w:rFonts w:ascii="Arial Narrow" w:hAnsi="Arial Narrow"/>
          <w:b/>
          <w:color w:val="31849B" w:themeColor="accent5" w:themeShade="BF"/>
          <w:sz w:val="28"/>
          <w:szCs w:val="28"/>
          <w:lang w:val="fr-FR"/>
        </w:rPr>
      </w:pPr>
      <w:r w:rsidRPr="00A45041">
        <w:rPr>
          <w:rFonts w:ascii="Cambria" w:hAnsi="Cambria"/>
          <w:b/>
          <w:bCs/>
          <w:color w:val="31849B" w:themeColor="accent5" w:themeShade="BF"/>
          <w:szCs w:val="32"/>
          <w:lang w:val="fr-FR"/>
        </w:rPr>
        <w:t>Commission économique pour l’Afrique</w:t>
      </w:r>
      <w:r w:rsidRPr="00A45041">
        <w:rPr>
          <w:rFonts w:ascii="Arial Narrow" w:hAnsi="Arial Narrow"/>
          <w:b/>
          <w:color w:val="31849B" w:themeColor="accent5" w:themeShade="BF"/>
          <w:sz w:val="28"/>
          <w:szCs w:val="28"/>
          <w:lang w:val="fr-FR"/>
        </w:rPr>
        <w:t xml:space="preserve"> </w:t>
      </w:r>
    </w:p>
    <w:p w:rsidR="00143310" w:rsidRPr="004A5FC2" w:rsidRDefault="00143310" w:rsidP="00BB7154">
      <w:pPr>
        <w:tabs>
          <w:tab w:val="center" w:pos="4819"/>
        </w:tabs>
        <w:ind w:left="-426"/>
        <w:rPr>
          <w:rFonts w:ascii="Cambria" w:hAnsi="Cambria"/>
          <w:b/>
          <w:bCs/>
          <w:color w:val="365F91" w:themeColor="accent1" w:themeShade="BF"/>
          <w:szCs w:val="32"/>
          <w:lang w:val="fr-FR"/>
        </w:rPr>
      </w:pPr>
      <w:r w:rsidRPr="00A45041">
        <w:rPr>
          <w:rFonts w:ascii="Cambria" w:hAnsi="Cambria"/>
          <w:b/>
          <w:bCs/>
          <w:color w:val="31849B" w:themeColor="accent5" w:themeShade="BF"/>
          <w:szCs w:val="32"/>
          <w:lang w:val="fr-FR"/>
        </w:rPr>
        <w:t>Bureau pour l’Afrique du Nord</w:t>
      </w:r>
    </w:p>
    <w:bookmarkEnd w:id="0"/>
    <w:bookmarkEnd w:id="1"/>
    <w:p w:rsidR="00143310" w:rsidRPr="004A5FC2" w:rsidRDefault="00143310" w:rsidP="00BB7154">
      <w:pPr>
        <w:tabs>
          <w:tab w:val="center" w:pos="4819"/>
        </w:tabs>
        <w:ind w:left="-426"/>
        <w:rPr>
          <w:rFonts w:ascii="Arial Narrow" w:hAnsi="Arial Narrow"/>
          <w:i/>
          <w:color w:val="336699"/>
          <w:sz w:val="22"/>
          <w:szCs w:val="22"/>
          <w:lang w:val="fr-FR"/>
        </w:rPr>
      </w:pPr>
    </w:p>
    <w:p w:rsidR="00143310" w:rsidRPr="00F000CA" w:rsidRDefault="00143310" w:rsidP="00BB7154">
      <w:pPr>
        <w:pStyle w:val="Lgende"/>
        <w:ind w:left="-426"/>
        <w:rPr>
          <w:rFonts w:ascii="Cambria" w:hAnsi="Cambria"/>
          <w:b/>
          <w:bCs/>
          <w:i w:val="0"/>
          <w:iCs w:val="0"/>
          <w:sz w:val="20"/>
          <w:lang w:val="fr-FR"/>
        </w:rPr>
      </w:pPr>
    </w:p>
    <w:p w:rsidR="00143310" w:rsidRPr="00F000CA" w:rsidRDefault="00143310" w:rsidP="00BB7154">
      <w:pPr>
        <w:pStyle w:val="Lgende"/>
        <w:ind w:left="-426" w:right="-540"/>
        <w:jc w:val="left"/>
        <w:rPr>
          <w:rFonts w:ascii="Cambria" w:hAnsi="Cambria"/>
          <w:b/>
          <w:bCs/>
          <w:i w:val="0"/>
          <w:iCs w:val="0"/>
          <w:sz w:val="20"/>
          <w:lang w:val="fr-FR"/>
        </w:rPr>
      </w:pPr>
    </w:p>
    <w:p w:rsidR="00143310" w:rsidRPr="00F000CA" w:rsidRDefault="00143310" w:rsidP="00BB7154">
      <w:pPr>
        <w:pStyle w:val="Lgende"/>
        <w:ind w:left="-426" w:right="-540"/>
        <w:jc w:val="left"/>
        <w:rPr>
          <w:rFonts w:ascii="Cambria" w:hAnsi="Cambria"/>
          <w:b/>
          <w:bCs/>
          <w:i w:val="0"/>
          <w:iCs w:val="0"/>
          <w:sz w:val="20"/>
          <w:lang w:val="fr-FR"/>
        </w:rPr>
      </w:pPr>
    </w:p>
    <w:p w:rsidR="00143310" w:rsidRDefault="00143310" w:rsidP="00BB7154">
      <w:pPr>
        <w:ind w:left="-426" w:right="-709"/>
        <w:jc w:val="center"/>
        <w:rPr>
          <w:rFonts w:ascii="Cambria" w:hAnsi="Cambria"/>
          <w:b/>
          <w:bCs/>
          <w:color w:val="31849B" w:themeColor="accent5" w:themeShade="BF"/>
          <w:sz w:val="32"/>
          <w:szCs w:val="32"/>
          <w:lang w:val="fr-FR"/>
        </w:rPr>
      </w:pPr>
    </w:p>
    <w:p w:rsidR="00143310" w:rsidRDefault="00143310" w:rsidP="00BB7154">
      <w:pPr>
        <w:ind w:left="-426" w:right="-709"/>
        <w:jc w:val="center"/>
        <w:rPr>
          <w:rFonts w:ascii="Cambria" w:hAnsi="Cambria"/>
          <w:b/>
          <w:bCs/>
          <w:color w:val="31849B" w:themeColor="accent5" w:themeShade="BF"/>
          <w:sz w:val="32"/>
          <w:szCs w:val="32"/>
          <w:lang w:val="fr-FR"/>
        </w:rPr>
      </w:pPr>
    </w:p>
    <w:p w:rsidR="00143310" w:rsidRDefault="00143310" w:rsidP="00BB7154">
      <w:pPr>
        <w:ind w:left="-426" w:right="-709"/>
        <w:jc w:val="center"/>
        <w:rPr>
          <w:rFonts w:ascii="Cambria" w:hAnsi="Cambria"/>
          <w:b/>
          <w:bCs/>
          <w:color w:val="31849B" w:themeColor="accent5" w:themeShade="BF"/>
          <w:sz w:val="32"/>
          <w:szCs w:val="32"/>
          <w:lang w:val="fr-FR"/>
        </w:rPr>
      </w:pPr>
    </w:p>
    <w:p w:rsidR="00143310" w:rsidRPr="003B3FC8" w:rsidRDefault="00143310" w:rsidP="00BB7154">
      <w:pPr>
        <w:ind w:left="-426" w:right="-709"/>
        <w:jc w:val="center"/>
        <w:rPr>
          <w:b/>
          <w:sz w:val="22"/>
          <w:szCs w:val="22"/>
          <w:lang w:val="fr-FR"/>
        </w:rPr>
      </w:pPr>
      <w:r w:rsidRPr="003B3FC8">
        <w:rPr>
          <w:rFonts w:ascii="Cambria" w:hAnsi="Cambria"/>
          <w:b/>
          <w:bCs/>
          <w:color w:val="31849B" w:themeColor="accent5" w:themeShade="BF"/>
          <w:sz w:val="28"/>
          <w:szCs w:val="28"/>
          <w:lang w:val="fr-FR"/>
        </w:rPr>
        <w:t xml:space="preserve">Réunion de concertation </w:t>
      </w:r>
      <w:r w:rsidR="00B33BFD" w:rsidRPr="003B3FC8">
        <w:rPr>
          <w:rFonts w:ascii="Cambria" w:hAnsi="Cambria"/>
          <w:b/>
          <w:bCs/>
          <w:color w:val="31849B" w:themeColor="accent5" w:themeShade="BF"/>
          <w:sz w:val="28"/>
          <w:szCs w:val="28"/>
          <w:lang w:val="fr-FR"/>
        </w:rPr>
        <w:t>avec l’</w:t>
      </w:r>
      <w:r w:rsidRPr="003B3FC8">
        <w:rPr>
          <w:rFonts w:ascii="Cambria" w:hAnsi="Cambria"/>
          <w:b/>
          <w:bCs/>
          <w:color w:val="31849B" w:themeColor="accent5" w:themeShade="BF"/>
          <w:sz w:val="28"/>
          <w:szCs w:val="28"/>
          <w:lang w:val="fr-FR"/>
        </w:rPr>
        <w:t xml:space="preserve">UMA </w:t>
      </w:r>
      <w:r w:rsidR="00B33BFD" w:rsidRPr="003B3FC8">
        <w:rPr>
          <w:rFonts w:ascii="Cambria" w:hAnsi="Cambria"/>
          <w:b/>
          <w:bCs/>
          <w:color w:val="31849B" w:themeColor="accent5" w:themeShade="BF"/>
          <w:sz w:val="28"/>
          <w:szCs w:val="28"/>
          <w:lang w:val="fr-FR"/>
        </w:rPr>
        <w:t xml:space="preserve">et les </w:t>
      </w:r>
      <w:proofErr w:type="spellStart"/>
      <w:r w:rsidRPr="003B3FC8">
        <w:rPr>
          <w:rFonts w:ascii="Cambria" w:hAnsi="Cambria"/>
          <w:b/>
          <w:bCs/>
          <w:color w:val="31849B" w:themeColor="accent5" w:themeShade="BF"/>
          <w:sz w:val="28"/>
          <w:szCs w:val="28"/>
          <w:lang w:val="fr-FR"/>
        </w:rPr>
        <w:t>OIGs</w:t>
      </w:r>
      <w:proofErr w:type="spellEnd"/>
      <w:r w:rsidRPr="003B3FC8">
        <w:rPr>
          <w:rFonts w:ascii="Cambria" w:hAnsi="Cambria"/>
          <w:b/>
          <w:bCs/>
          <w:color w:val="31849B" w:themeColor="accent5" w:themeShade="BF"/>
          <w:sz w:val="28"/>
          <w:szCs w:val="28"/>
          <w:lang w:val="fr-FR"/>
        </w:rPr>
        <w:t xml:space="preserve"> </w:t>
      </w:r>
      <w:r w:rsidR="00B33BFD" w:rsidRPr="003B3FC8">
        <w:rPr>
          <w:rFonts w:ascii="Cambria" w:hAnsi="Cambria"/>
          <w:b/>
          <w:bCs/>
          <w:color w:val="31849B" w:themeColor="accent5" w:themeShade="BF"/>
          <w:sz w:val="28"/>
          <w:szCs w:val="28"/>
          <w:lang w:val="fr-FR"/>
        </w:rPr>
        <w:t xml:space="preserve">d’Afrique du </w:t>
      </w:r>
      <w:r w:rsidRPr="003B3FC8">
        <w:rPr>
          <w:rFonts w:ascii="Cambria" w:hAnsi="Cambria"/>
          <w:b/>
          <w:bCs/>
          <w:color w:val="31849B" w:themeColor="accent5" w:themeShade="BF"/>
          <w:sz w:val="28"/>
          <w:szCs w:val="28"/>
          <w:lang w:val="fr-FR"/>
        </w:rPr>
        <w:t>Nord</w:t>
      </w:r>
    </w:p>
    <w:p w:rsidR="00A45041" w:rsidRDefault="001C3050" w:rsidP="00BB7154">
      <w:pPr>
        <w:ind w:left="-426"/>
        <w:jc w:val="center"/>
        <w:rPr>
          <w:rFonts w:ascii="Cambria" w:hAnsi="Cambria" w:hint="cs"/>
          <w:b/>
          <w:bCs/>
          <w:color w:val="31849B" w:themeColor="accent5" w:themeShade="BF"/>
          <w:sz w:val="28"/>
          <w:szCs w:val="28"/>
          <w:rtl/>
          <w:lang w:val="fr-FR"/>
        </w:rPr>
      </w:pPr>
      <w:proofErr w:type="gramStart"/>
      <w:r w:rsidRPr="003B3FC8">
        <w:rPr>
          <w:rFonts w:ascii="Cambria" w:hAnsi="Cambria"/>
          <w:b/>
          <w:bCs/>
          <w:color w:val="31849B" w:themeColor="accent5" w:themeShade="BF"/>
          <w:sz w:val="28"/>
          <w:szCs w:val="28"/>
          <w:lang w:val="fr-FR"/>
        </w:rPr>
        <w:t>sur</w:t>
      </w:r>
      <w:proofErr w:type="gramEnd"/>
      <w:r w:rsidRPr="003B3FC8">
        <w:rPr>
          <w:rFonts w:ascii="Cambria" w:hAnsi="Cambria"/>
          <w:b/>
          <w:bCs/>
          <w:color w:val="31849B" w:themeColor="accent5" w:themeShade="BF"/>
          <w:sz w:val="28"/>
          <w:szCs w:val="28"/>
          <w:lang w:val="fr-FR"/>
        </w:rPr>
        <w:t xml:space="preserve"> les perspectives de l’intégration maghrébine dans le </w:t>
      </w:r>
    </w:p>
    <w:p w:rsidR="00B33BFD" w:rsidRPr="003B3FC8" w:rsidRDefault="001C3050" w:rsidP="00BB7154">
      <w:pPr>
        <w:ind w:left="-426"/>
        <w:jc w:val="center"/>
        <w:rPr>
          <w:rFonts w:ascii="Cambria" w:hAnsi="Cambria"/>
          <w:b/>
          <w:bCs/>
          <w:color w:val="31849B" w:themeColor="accent5" w:themeShade="BF"/>
          <w:sz w:val="28"/>
          <w:szCs w:val="28"/>
          <w:lang w:val="fr-FR"/>
        </w:rPr>
      </w:pPr>
      <w:proofErr w:type="gramStart"/>
      <w:r w:rsidRPr="003B3FC8">
        <w:rPr>
          <w:rFonts w:ascii="Cambria" w:hAnsi="Cambria"/>
          <w:b/>
          <w:bCs/>
          <w:color w:val="31849B" w:themeColor="accent5" w:themeShade="BF"/>
          <w:sz w:val="28"/>
          <w:szCs w:val="28"/>
          <w:lang w:val="fr-FR"/>
        </w:rPr>
        <w:t>nouveau</w:t>
      </w:r>
      <w:proofErr w:type="gramEnd"/>
      <w:r w:rsidRPr="003B3FC8">
        <w:rPr>
          <w:rFonts w:ascii="Cambria" w:hAnsi="Cambria"/>
          <w:b/>
          <w:bCs/>
          <w:color w:val="31849B" w:themeColor="accent5" w:themeShade="BF"/>
          <w:sz w:val="28"/>
          <w:szCs w:val="28"/>
          <w:lang w:val="fr-FR"/>
        </w:rPr>
        <w:t xml:space="preserve"> contexte sociopolitique de la sous région</w:t>
      </w:r>
    </w:p>
    <w:p w:rsidR="00143310" w:rsidRPr="003B3FC8" w:rsidRDefault="00143310" w:rsidP="00BB7154">
      <w:pPr>
        <w:ind w:left="-426" w:right="-709"/>
        <w:jc w:val="center"/>
        <w:rPr>
          <w:rFonts w:ascii="Cambria" w:hAnsi="Cambria"/>
          <w:b/>
          <w:bCs/>
          <w:color w:val="365F91" w:themeColor="accent1" w:themeShade="BF"/>
          <w:sz w:val="28"/>
          <w:szCs w:val="28"/>
          <w:lang w:val="fr-FR"/>
        </w:rPr>
      </w:pPr>
    </w:p>
    <w:p w:rsidR="00143310" w:rsidRPr="003B3FC8" w:rsidRDefault="00143310" w:rsidP="00BB7154">
      <w:pPr>
        <w:ind w:left="-426"/>
        <w:jc w:val="center"/>
        <w:rPr>
          <w:rFonts w:ascii="Cambria" w:hAnsi="Cambria"/>
          <w:sz w:val="22"/>
          <w:szCs w:val="22"/>
          <w:lang w:val="fr-FR"/>
        </w:rPr>
      </w:pPr>
    </w:p>
    <w:p w:rsidR="003D5B18" w:rsidRPr="00A45041" w:rsidRDefault="00B33BFD" w:rsidP="00BB7154">
      <w:pPr>
        <w:ind w:left="-426"/>
        <w:jc w:val="center"/>
        <w:rPr>
          <w:rFonts w:ascii="Cambria" w:hAnsi="Cambria"/>
          <w:b/>
          <w:bCs/>
          <w:sz w:val="28"/>
          <w:szCs w:val="28"/>
          <w:lang w:val="fr-FR"/>
        </w:rPr>
      </w:pPr>
      <w:r w:rsidRPr="00A45041">
        <w:rPr>
          <w:rFonts w:ascii="Cambria" w:hAnsi="Cambria"/>
          <w:b/>
          <w:bCs/>
          <w:sz w:val="28"/>
          <w:szCs w:val="28"/>
          <w:lang w:val="fr-FR"/>
        </w:rPr>
        <w:t xml:space="preserve">15 </w:t>
      </w:r>
      <w:r w:rsidR="0032463F" w:rsidRPr="00A45041">
        <w:rPr>
          <w:rFonts w:ascii="Cambria" w:hAnsi="Cambria"/>
          <w:b/>
          <w:bCs/>
          <w:sz w:val="28"/>
          <w:szCs w:val="28"/>
          <w:lang w:val="fr-FR"/>
        </w:rPr>
        <w:t>j</w:t>
      </w:r>
      <w:r w:rsidRPr="00A45041">
        <w:rPr>
          <w:rFonts w:ascii="Cambria" w:hAnsi="Cambria"/>
          <w:b/>
          <w:bCs/>
          <w:sz w:val="28"/>
          <w:szCs w:val="28"/>
          <w:lang w:val="fr-FR"/>
        </w:rPr>
        <w:t>anvier 2013- Rabat (Maroc)</w:t>
      </w:r>
    </w:p>
    <w:p w:rsidR="003D5B18" w:rsidRDefault="003D5B18" w:rsidP="00BB7154">
      <w:pPr>
        <w:pStyle w:val="Corpsdetexte"/>
        <w:numPr>
          <w:ilvl w:val="0"/>
          <w:numId w:val="0"/>
        </w:numPr>
        <w:spacing w:after="360"/>
        <w:ind w:left="-426"/>
        <w:jc w:val="center"/>
        <w:rPr>
          <w:rFonts w:ascii="Cambria" w:hAnsi="Cambria"/>
          <w:b/>
          <w:bCs/>
          <w:color w:val="365F91" w:themeColor="accent1" w:themeShade="BF"/>
          <w:sz w:val="32"/>
          <w:szCs w:val="32"/>
        </w:rPr>
      </w:pPr>
    </w:p>
    <w:p w:rsidR="00143310" w:rsidRPr="00A21492" w:rsidRDefault="00143310" w:rsidP="00BB7154">
      <w:pPr>
        <w:ind w:left="-426"/>
        <w:jc w:val="center"/>
        <w:rPr>
          <w:rFonts w:ascii="Arial Narrow" w:hAnsi="Arial Narrow"/>
          <w:b/>
          <w:lang w:val="fr-FR"/>
        </w:rPr>
      </w:pPr>
    </w:p>
    <w:p w:rsidR="00143310" w:rsidRPr="00A21492" w:rsidRDefault="00143310" w:rsidP="00BB7154">
      <w:pPr>
        <w:ind w:left="-426"/>
        <w:jc w:val="center"/>
        <w:rPr>
          <w:rFonts w:ascii="Arial Narrow" w:hAnsi="Arial Narrow"/>
          <w:b/>
          <w:bCs/>
          <w:sz w:val="22"/>
          <w:szCs w:val="22"/>
          <w:lang w:val="fr-FR"/>
        </w:rPr>
      </w:pPr>
    </w:p>
    <w:p w:rsidR="003D5B18" w:rsidRDefault="00B33BFD" w:rsidP="00BB7154">
      <w:pPr>
        <w:pStyle w:val="Titre1"/>
        <w:ind w:left="-426"/>
        <w:jc w:val="center"/>
        <w:rPr>
          <w:rFonts w:ascii="Cambria" w:hAnsi="Cambria"/>
          <w:color w:val="31849B" w:themeColor="accent5" w:themeShade="BF"/>
          <w:sz w:val="44"/>
          <w:szCs w:val="44"/>
          <w:lang w:val="fr-FR"/>
        </w:rPr>
      </w:pPr>
      <w:r>
        <w:rPr>
          <w:rFonts w:ascii="Cambria" w:hAnsi="Cambria"/>
          <w:color w:val="31849B" w:themeColor="accent5" w:themeShade="BF"/>
          <w:sz w:val="44"/>
          <w:szCs w:val="44"/>
          <w:lang w:val="fr-FR"/>
        </w:rPr>
        <w:t>Aide-mémoire</w:t>
      </w:r>
    </w:p>
    <w:p w:rsidR="00143310" w:rsidRPr="00A21492" w:rsidRDefault="00496AC7" w:rsidP="00BB7154">
      <w:pPr>
        <w:ind w:left="-426"/>
        <w:jc w:val="center"/>
        <w:rPr>
          <w:rFonts w:ascii="Arial Narrow" w:hAnsi="Arial Narrow"/>
          <w:b/>
          <w:bCs/>
          <w:i/>
          <w:sz w:val="28"/>
          <w:szCs w:val="28"/>
          <w:lang w:val="fr-FR"/>
        </w:rPr>
      </w:pPr>
      <w:r w:rsidRPr="00496AC7">
        <w:rPr>
          <w:rFonts w:ascii="Arial Narrow" w:hAnsi="Arial Narrow"/>
          <w:b/>
          <w:bCs/>
          <w:i/>
          <w:noProof/>
          <w:color w:val="365F91" w:themeColor="accent1" w:themeShade="BF"/>
          <w:sz w:val="28"/>
          <w:szCs w:val="28"/>
        </w:rPr>
        <w:pict>
          <v:line id="_x0000_s1026" style="position:absolute;left:0;text-align:left;z-index:251658240" from="126.7pt,5.7pt" to="305.2pt,5.7pt" strokecolor="#365f91 [2404]" strokeweight="4.5pt"/>
        </w:pict>
      </w:r>
    </w:p>
    <w:p w:rsidR="001457EE" w:rsidRDefault="001457EE" w:rsidP="00D67B4C">
      <w:pPr>
        <w:jc w:val="both"/>
        <w:rPr>
          <w:b/>
          <w:lang w:val="fr-FR"/>
        </w:rPr>
      </w:pPr>
    </w:p>
    <w:p w:rsidR="00E14C18" w:rsidRDefault="00E14C18">
      <w:pPr>
        <w:ind w:right="-709"/>
        <w:jc w:val="center"/>
        <w:rPr>
          <w:rFonts w:ascii="Cambria" w:hAnsi="Cambria"/>
          <w:color w:val="365F91" w:themeColor="accent1" w:themeShade="BF"/>
          <w:lang w:val="fr-FR"/>
        </w:rPr>
        <w:sectPr w:rsidR="00E14C18" w:rsidSect="003B3FC8">
          <w:footerReference w:type="default" r:id="rId9"/>
          <w:type w:val="continuous"/>
          <w:pgSz w:w="11906" w:h="16838"/>
          <w:pgMar w:top="568" w:right="1418" w:bottom="1418" w:left="1418" w:header="709" w:footer="402" w:gutter="0"/>
          <w:pgNumType w:start="1"/>
          <w:cols w:space="708"/>
          <w:titlePg/>
          <w:docGrid w:linePitch="360"/>
        </w:sectPr>
      </w:pPr>
    </w:p>
    <w:p w:rsidR="003D5B18" w:rsidRPr="008E10A9" w:rsidRDefault="001C3050">
      <w:pPr>
        <w:ind w:right="-709"/>
        <w:jc w:val="center"/>
        <w:rPr>
          <w:rFonts w:ascii="Cambria" w:hAnsi="Cambria"/>
          <w:color w:val="365F91" w:themeColor="accent1" w:themeShade="BF"/>
          <w:lang w:val="fr-FR"/>
        </w:rPr>
      </w:pPr>
      <w:r w:rsidRPr="008E10A9">
        <w:rPr>
          <w:rFonts w:ascii="Cambria" w:hAnsi="Cambria"/>
          <w:color w:val="365F91" w:themeColor="accent1" w:themeShade="BF"/>
          <w:lang w:val="fr-FR"/>
        </w:rPr>
        <w:lastRenderedPageBreak/>
        <w:t xml:space="preserve">Réunion de concertation avec l’UMA et les </w:t>
      </w:r>
      <w:proofErr w:type="spellStart"/>
      <w:r w:rsidRPr="008E10A9">
        <w:rPr>
          <w:rFonts w:ascii="Cambria" w:hAnsi="Cambria"/>
          <w:color w:val="365F91" w:themeColor="accent1" w:themeShade="BF"/>
          <w:lang w:val="fr-FR"/>
        </w:rPr>
        <w:t>OIGs</w:t>
      </w:r>
      <w:proofErr w:type="spellEnd"/>
      <w:r w:rsidRPr="008E10A9">
        <w:rPr>
          <w:rFonts w:ascii="Cambria" w:hAnsi="Cambria"/>
          <w:color w:val="365F91" w:themeColor="accent1" w:themeShade="BF"/>
          <w:lang w:val="fr-FR"/>
        </w:rPr>
        <w:t xml:space="preserve"> d’Afrique du Nord sur </w:t>
      </w:r>
    </w:p>
    <w:p w:rsidR="003D5B18" w:rsidRPr="008E10A9" w:rsidRDefault="001C3050">
      <w:pPr>
        <w:ind w:right="-709"/>
        <w:jc w:val="center"/>
        <w:rPr>
          <w:rFonts w:ascii="Cambria" w:hAnsi="Cambria"/>
          <w:color w:val="365F91" w:themeColor="accent1" w:themeShade="BF"/>
          <w:lang w:val="fr-FR"/>
        </w:rPr>
      </w:pPr>
      <w:proofErr w:type="gramStart"/>
      <w:r w:rsidRPr="008E10A9">
        <w:rPr>
          <w:rFonts w:ascii="Cambria" w:hAnsi="Cambria"/>
          <w:color w:val="365F91" w:themeColor="accent1" w:themeShade="BF"/>
          <w:lang w:val="fr-FR"/>
        </w:rPr>
        <w:t>les</w:t>
      </w:r>
      <w:proofErr w:type="gramEnd"/>
      <w:r w:rsidRPr="008E10A9">
        <w:rPr>
          <w:rFonts w:ascii="Cambria" w:hAnsi="Cambria"/>
          <w:color w:val="365F91" w:themeColor="accent1" w:themeShade="BF"/>
          <w:lang w:val="fr-FR"/>
        </w:rPr>
        <w:t xml:space="preserve"> perspectives de l’intégration maghrébine dans le nouveau contexte</w:t>
      </w:r>
    </w:p>
    <w:p w:rsidR="003D5B18" w:rsidRPr="008E10A9" w:rsidRDefault="001C3050">
      <w:pPr>
        <w:ind w:right="-709"/>
        <w:jc w:val="center"/>
        <w:rPr>
          <w:rFonts w:ascii="Cambria" w:hAnsi="Cambria"/>
          <w:color w:val="365F91" w:themeColor="accent1" w:themeShade="BF"/>
          <w:lang w:val="fr-FR"/>
        </w:rPr>
      </w:pPr>
      <w:r w:rsidRPr="008E10A9">
        <w:rPr>
          <w:rFonts w:ascii="Cambria" w:hAnsi="Cambria"/>
          <w:color w:val="365F91" w:themeColor="accent1" w:themeShade="BF"/>
          <w:lang w:val="fr-FR"/>
        </w:rPr>
        <w:t xml:space="preserve"> </w:t>
      </w:r>
      <w:proofErr w:type="gramStart"/>
      <w:r w:rsidRPr="008E10A9">
        <w:rPr>
          <w:rFonts w:ascii="Cambria" w:hAnsi="Cambria"/>
          <w:color w:val="365F91" w:themeColor="accent1" w:themeShade="BF"/>
          <w:lang w:val="fr-FR"/>
        </w:rPr>
        <w:t>sociopolitique</w:t>
      </w:r>
      <w:proofErr w:type="gramEnd"/>
      <w:r w:rsidRPr="008E10A9">
        <w:rPr>
          <w:rFonts w:ascii="Cambria" w:hAnsi="Cambria"/>
          <w:color w:val="365F91" w:themeColor="accent1" w:themeShade="BF"/>
          <w:lang w:val="fr-FR"/>
        </w:rPr>
        <w:t xml:space="preserve"> de la sous région</w:t>
      </w:r>
    </w:p>
    <w:p w:rsidR="003D5B18" w:rsidRDefault="003D5B18">
      <w:pPr>
        <w:jc w:val="center"/>
        <w:rPr>
          <w:rFonts w:ascii="Cambria" w:hAnsi="Cambria"/>
          <w:b/>
          <w:bCs/>
          <w:color w:val="31849B" w:themeColor="accent5" w:themeShade="BF"/>
          <w:sz w:val="32"/>
          <w:szCs w:val="32"/>
          <w:lang w:val="fr-FR"/>
        </w:rPr>
      </w:pPr>
    </w:p>
    <w:p w:rsidR="003D5B18" w:rsidRDefault="003D5B18">
      <w:pPr>
        <w:jc w:val="center"/>
        <w:rPr>
          <w:rFonts w:ascii="Cambria" w:hAnsi="Cambria"/>
          <w:b/>
          <w:bCs/>
          <w:color w:val="31849B" w:themeColor="accent5" w:themeShade="BF"/>
          <w:sz w:val="22"/>
          <w:szCs w:val="22"/>
          <w:lang w:val="fr-FR"/>
        </w:rPr>
      </w:pPr>
    </w:p>
    <w:p w:rsidR="003D5B18" w:rsidRPr="005E5FC7" w:rsidRDefault="001C3050" w:rsidP="005E5FC7">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sidRPr="005E5FC7">
        <w:rPr>
          <w:rFonts w:ascii="Cambria" w:hAnsi="Cambria" w:cs="Arial"/>
          <w:b/>
          <w:bCs/>
          <w:color w:val="365F91" w:themeColor="accent1" w:themeShade="BF"/>
          <w:sz w:val="28"/>
          <w:szCs w:val="28"/>
          <w:lang w:val="fr-FR"/>
        </w:rPr>
        <w:t xml:space="preserve">Contexte </w:t>
      </w:r>
    </w:p>
    <w:p w:rsidR="003D5B18" w:rsidRDefault="003D5B18">
      <w:pPr>
        <w:shd w:val="clear" w:color="auto" w:fill="1F497D" w:themeFill="text2"/>
        <w:jc w:val="both"/>
        <w:rPr>
          <w:sz w:val="10"/>
          <w:szCs w:val="10"/>
          <w:lang w:val="fr-FR"/>
        </w:rPr>
      </w:pPr>
    </w:p>
    <w:p w:rsidR="00B33BFD" w:rsidRDefault="00B33BFD" w:rsidP="00C82247">
      <w:pPr>
        <w:jc w:val="both"/>
        <w:rPr>
          <w:bCs/>
          <w:lang w:val="fr-FR"/>
        </w:rPr>
      </w:pPr>
    </w:p>
    <w:p w:rsidR="00C82247" w:rsidRDefault="00C82247" w:rsidP="00C82247">
      <w:pPr>
        <w:jc w:val="both"/>
        <w:rPr>
          <w:bCs/>
          <w:lang w:val="fr-FR"/>
        </w:rPr>
      </w:pPr>
      <w:r>
        <w:rPr>
          <w:bCs/>
          <w:lang w:val="fr-FR"/>
        </w:rPr>
        <w:t xml:space="preserve">L’intégration régionale est un processus de construction d’espaces économiques élargis </w:t>
      </w:r>
      <w:r w:rsidR="001457EE">
        <w:rPr>
          <w:bCs/>
          <w:lang w:val="fr-FR"/>
        </w:rPr>
        <w:t xml:space="preserve"> et de solidarités régionales </w:t>
      </w:r>
      <w:r w:rsidR="00450DCD">
        <w:rPr>
          <w:bCs/>
          <w:lang w:val="fr-FR"/>
        </w:rPr>
        <w:t>structurées autour d</w:t>
      </w:r>
      <w:r w:rsidR="002B449A">
        <w:rPr>
          <w:bCs/>
          <w:lang w:val="fr-FR"/>
        </w:rPr>
        <w:t>’idéaux communs ou d</w:t>
      </w:r>
      <w:r w:rsidR="00450DCD">
        <w:rPr>
          <w:bCs/>
          <w:lang w:val="fr-FR"/>
        </w:rPr>
        <w:t xml:space="preserve">e </w:t>
      </w:r>
      <w:r w:rsidR="001457EE">
        <w:rPr>
          <w:bCs/>
          <w:lang w:val="fr-FR"/>
        </w:rPr>
        <w:t xml:space="preserve">déterminants culturels et sociaux. Au plan économique, </w:t>
      </w:r>
      <w:bookmarkStart w:id="2" w:name="OLE_LINK6"/>
      <w:bookmarkStart w:id="3" w:name="OLE_LINK7"/>
      <w:r w:rsidR="001457EE">
        <w:rPr>
          <w:bCs/>
          <w:lang w:val="fr-FR"/>
        </w:rPr>
        <w:t xml:space="preserve">les </w:t>
      </w:r>
      <w:r>
        <w:rPr>
          <w:bCs/>
          <w:lang w:val="fr-FR"/>
        </w:rPr>
        <w:t xml:space="preserve">effets statiques et dynamiques </w:t>
      </w:r>
      <w:bookmarkEnd w:id="2"/>
      <w:bookmarkEnd w:id="3"/>
      <w:r w:rsidR="001457EE">
        <w:rPr>
          <w:bCs/>
          <w:lang w:val="fr-FR"/>
        </w:rPr>
        <w:t xml:space="preserve">de la régionalisation </w:t>
      </w:r>
      <w:r>
        <w:rPr>
          <w:bCs/>
          <w:lang w:val="fr-FR"/>
        </w:rPr>
        <w:t>permettent notamment le développement du commerce</w:t>
      </w:r>
      <w:r w:rsidR="00175003">
        <w:rPr>
          <w:bCs/>
          <w:lang w:val="fr-FR"/>
        </w:rPr>
        <w:t xml:space="preserve"> et des investissements</w:t>
      </w:r>
      <w:r w:rsidR="00450DCD">
        <w:rPr>
          <w:bCs/>
          <w:lang w:val="fr-FR"/>
        </w:rPr>
        <w:t xml:space="preserve"> par le biais d’une plus grande mobilité des facteurs,</w:t>
      </w:r>
      <w:r>
        <w:rPr>
          <w:bCs/>
          <w:lang w:val="fr-FR"/>
        </w:rPr>
        <w:t xml:space="preserve"> la réalisation d’économies d’échelle par l’accroissement de la taille des marchés, une allocation plus efficace des ressources par le renforcement de la concurrence, et une meilleure prévisibilité des politiques publiques par leur ancrage dans une perspective régionale. </w:t>
      </w:r>
      <w:r w:rsidR="00450DCD">
        <w:rPr>
          <w:bCs/>
          <w:lang w:val="fr-FR"/>
        </w:rPr>
        <w:t>Avec l’institutionnalisation de plus en plus poussée des projets d’intégration, notamment dans les schémas de coopération Sud-sud, l</w:t>
      </w:r>
      <w:r w:rsidR="007A3D3A">
        <w:rPr>
          <w:bCs/>
          <w:lang w:val="fr-FR"/>
        </w:rPr>
        <w:t xml:space="preserve">a mise en place de normes communes et la coordination des politiques concourent à </w:t>
      </w:r>
      <w:r w:rsidR="00000720">
        <w:rPr>
          <w:bCs/>
          <w:lang w:val="fr-FR"/>
        </w:rPr>
        <w:t xml:space="preserve">une gestion plus efficiente et ou </w:t>
      </w:r>
      <w:r w:rsidR="00A115E1">
        <w:rPr>
          <w:bCs/>
          <w:lang w:val="fr-FR"/>
        </w:rPr>
        <w:t xml:space="preserve">à </w:t>
      </w:r>
      <w:r w:rsidR="007A3D3A">
        <w:rPr>
          <w:bCs/>
          <w:lang w:val="fr-FR"/>
        </w:rPr>
        <w:t>la création de biens publics régionaux</w:t>
      </w:r>
      <w:r w:rsidR="00450DCD">
        <w:rPr>
          <w:bCs/>
          <w:lang w:val="fr-FR"/>
        </w:rPr>
        <w:t>,</w:t>
      </w:r>
      <w:r w:rsidR="007A3D3A">
        <w:rPr>
          <w:bCs/>
          <w:lang w:val="fr-FR"/>
        </w:rPr>
        <w:t xml:space="preserve"> qu’ils soient naturels (ressources en eau, climat, biodiversité) immatériels (éducation, recherche scientifique,</w:t>
      </w:r>
      <w:r w:rsidR="00000720">
        <w:rPr>
          <w:bCs/>
          <w:lang w:val="fr-FR"/>
        </w:rPr>
        <w:t xml:space="preserve"> santé publique,</w:t>
      </w:r>
      <w:r w:rsidR="007A3D3A">
        <w:rPr>
          <w:bCs/>
          <w:lang w:val="fr-FR"/>
        </w:rPr>
        <w:t xml:space="preserve"> sécurité </w:t>
      </w:r>
      <w:r w:rsidR="00000720">
        <w:rPr>
          <w:bCs/>
          <w:lang w:val="fr-FR"/>
        </w:rPr>
        <w:t xml:space="preserve">des personnes) ou matériels (infrastructures de transport et de communication). </w:t>
      </w:r>
      <w:r>
        <w:rPr>
          <w:bCs/>
          <w:lang w:val="fr-FR"/>
        </w:rPr>
        <w:t xml:space="preserve">Dans certains cas, les processus d’intégration peuvent conduire à des constructions politiques plus ou moins élaborées, sur la base d’identités culturelles ou de valeurs partagées, qui permettent </w:t>
      </w:r>
      <w:r w:rsidR="009460E8">
        <w:rPr>
          <w:bCs/>
          <w:lang w:val="fr-FR"/>
        </w:rPr>
        <w:t>entre autres</w:t>
      </w:r>
      <w:r>
        <w:rPr>
          <w:bCs/>
          <w:lang w:val="fr-FR"/>
        </w:rPr>
        <w:t xml:space="preserve"> de prévenir ou </w:t>
      </w:r>
      <w:r w:rsidR="00237370">
        <w:rPr>
          <w:bCs/>
          <w:lang w:val="fr-FR"/>
        </w:rPr>
        <w:t xml:space="preserve">de </w:t>
      </w:r>
      <w:r w:rsidR="002B449A">
        <w:rPr>
          <w:bCs/>
          <w:lang w:val="fr-FR"/>
        </w:rPr>
        <w:t xml:space="preserve">gérer </w:t>
      </w:r>
      <w:r>
        <w:rPr>
          <w:bCs/>
          <w:lang w:val="fr-FR"/>
        </w:rPr>
        <w:t xml:space="preserve"> les conflits dans </w:t>
      </w:r>
      <w:r w:rsidR="002B449A">
        <w:rPr>
          <w:bCs/>
          <w:lang w:val="fr-FR"/>
        </w:rPr>
        <w:t>ou</w:t>
      </w:r>
      <w:r>
        <w:rPr>
          <w:bCs/>
          <w:lang w:val="fr-FR"/>
        </w:rPr>
        <w:t xml:space="preserve"> entre les Etats concernés.</w:t>
      </w:r>
      <w:r w:rsidR="0032463F">
        <w:rPr>
          <w:bCs/>
          <w:lang w:val="fr-FR"/>
        </w:rPr>
        <w:t xml:space="preserve"> </w:t>
      </w:r>
      <w:r>
        <w:rPr>
          <w:bCs/>
          <w:lang w:val="fr-FR"/>
        </w:rPr>
        <w:t>Avec la multiplication des accords régionaux qui a accompagné l</w:t>
      </w:r>
      <w:r w:rsidR="000335BC">
        <w:rPr>
          <w:bCs/>
          <w:lang w:val="fr-FR"/>
        </w:rPr>
        <w:t>a mondialisation de l’économie</w:t>
      </w:r>
      <w:r>
        <w:rPr>
          <w:bCs/>
          <w:lang w:val="fr-FR"/>
        </w:rPr>
        <w:t xml:space="preserve">, la région s’est progressivement substituée à l’Etat-nation comme espace optimal de développement. </w:t>
      </w:r>
      <w:r w:rsidR="003456C1">
        <w:rPr>
          <w:bCs/>
          <w:lang w:val="fr-FR"/>
        </w:rPr>
        <w:t>De plus en plus, l</w:t>
      </w:r>
      <w:r>
        <w:rPr>
          <w:bCs/>
          <w:lang w:val="fr-FR"/>
        </w:rPr>
        <w:t xml:space="preserve">es relations internationales se </w:t>
      </w:r>
      <w:r w:rsidR="009460E8">
        <w:rPr>
          <w:bCs/>
          <w:lang w:val="fr-FR"/>
        </w:rPr>
        <w:t xml:space="preserve">structurent </w:t>
      </w:r>
      <w:r>
        <w:rPr>
          <w:bCs/>
          <w:lang w:val="fr-FR"/>
        </w:rPr>
        <w:t xml:space="preserve">et se négocient dans le cadre de groupements régionaux, perçus par ailleurs comme </w:t>
      </w:r>
      <w:r w:rsidR="002B449A">
        <w:rPr>
          <w:bCs/>
          <w:lang w:val="fr-FR"/>
        </w:rPr>
        <w:t xml:space="preserve">outils </w:t>
      </w:r>
      <w:r>
        <w:rPr>
          <w:bCs/>
          <w:lang w:val="fr-FR"/>
        </w:rPr>
        <w:t xml:space="preserve"> de facilitation des consensus nécessaires à l’avancée des négociations internationales (</w:t>
      </w:r>
      <w:r w:rsidR="003456C1">
        <w:rPr>
          <w:bCs/>
          <w:lang w:val="fr-FR"/>
        </w:rPr>
        <w:t xml:space="preserve">Objectifs du Millénaire pour le développement, développement durable et changement climatique, </w:t>
      </w:r>
      <w:r>
        <w:rPr>
          <w:bCs/>
          <w:lang w:val="fr-FR"/>
        </w:rPr>
        <w:t>Commerce</w:t>
      </w:r>
      <w:r w:rsidR="00A115E1">
        <w:rPr>
          <w:bCs/>
          <w:lang w:val="fr-FR"/>
        </w:rPr>
        <w:t>, sécurité collective</w:t>
      </w:r>
      <w:r>
        <w:rPr>
          <w:bCs/>
          <w:lang w:val="fr-FR"/>
        </w:rPr>
        <w:t xml:space="preserve">). Pour les pays en développement, l’intégration régionale représente en même temps un moyen d’atténuer les effets négatifs d’un multilatéralisme asymétrique et une stratégie d’insertion harmonieuse dans l’économie mondiale. </w:t>
      </w:r>
    </w:p>
    <w:p w:rsidR="00C82247" w:rsidRDefault="00C82247" w:rsidP="00B83D07">
      <w:pPr>
        <w:jc w:val="both"/>
        <w:rPr>
          <w:lang w:val="fr-FR"/>
        </w:rPr>
      </w:pPr>
    </w:p>
    <w:p w:rsidR="003D5B18" w:rsidRDefault="007049E9">
      <w:pPr>
        <w:jc w:val="both"/>
        <w:rPr>
          <w:lang w:val="fr-FR"/>
        </w:rPr>
      </w:pPr>
      <w:r>
        <w:rPr>
          <w:lang w:val="fr-FR"/>
        </w:rPr>
        <w:t>L</w:t>
      </w:r>
      <w:r w:rsidR="00B83D07">
        <w:rPr>
          <w:lang w:val="fr-FR"/>
        </w:rPr>
        <w:t xml:space="preserve">es pays d’Afrique du Nord se sont engagés dans la dynamique de l’intégration </w:t>
      </w:r>
      <w:r w:rsidR="00136D70">
        <w:rPr>
          <w:lang w:val="fr-FR"/>
        </w:rPr>
        <w:t>régionale</w:t>
      </w:r>
      <w:r>
        <w:rPr>
          <w:lang w:val="fr-FR"/>
        </w:rPr>
        <w:t xml:space="preserve"> avec la signature en 1989 du traité instituant l’Union du Maghreb Arabe (UMA)</w:t>
      </w:r>
      <w:r w:rsidR="00136D70">
        <w:rPr>
          <w:lang w:val="fr-FR"/>
        </w:rPr>
        <w:t>. L’U</w:t>
      </w:r>
      <w:r w:rsidR="00B83D07">
        <w:rPr>
          <w:lang w:val="fr-FR"/>
        </w:rPr>
        <w:t>MA</w:t>
      </w:r>
      <w:r w:rsidR="00136D70">
        <w:rPr>
          <w:lang w:val="fr-FR"/>
        </w:rPr>
        <w:t>,</w:t>
      </w:r>
      <w:r w:rsidR="00B83D07">
        <w:rPr>
          <w:lang w:val="fr-FR"/>
        </w:rPr>
        <w:t xml:space="preserve"> qui regroupe cinq pays (Algérie, </w:t>
      </w:r>
      <w:r w:rsidR="00136D70">
        <w:rPr>
          <w:lang w:val="fr-FR"/>
        </w:rPr>
        <w:t>L</w:t>
      </w:r>
      <w:r w:rsidR="00B83D07">
        <w:rPr>
          <w:lang w:val="fr-FR"/>
        </w:rPr>
        <w:t>ibye, Maroc, Mauritanie</w:t>
      </w:r>
      <w:r w:rsidR="00136D70">
        <w:rPr>
          <w:lang w:val="fr-FR"/>
        </w:rPr>
        <w:t>,</w:t>
      </w:r>
      <w:r w:rsidR="00B83D07">
        <w:rPr>
          <w:lang w:val="fr-FR"/>
        </w:rPr>
        <w:t xml:space="preserve"> Tunisie)</w:t>
      </w:r>
      <w:r w:rsidR="00136D70">
        <w:rPr>
          <w:lang w:val="fr-FR"/>
        </w:rPr>
        <w:t xml:space="preserve"> s’est fixée comme </w:t>
      </w:r>
      <w:r w:rsidR="00B83D07">
        <w:rPr>
          <w:lang w:val="fr-FR"/>
        </w:rPr>
        <w:t>objectifs</w:t>
      </w:r>
      <w:r w:rsidR="00136D70">
        <w:rPr>
          <w:lang w:val="fr-FR"/>
        </w:rPr>
        <w:t xml:space="preserve"> la </w:t>
      </w:r>
      <w:r w:rsidR="00B83D07">
        <w:rPr>
          <w:lang w:val="fr-FR"/>
        </w:rPr>
        <w:t xml:space="preserve">recherche d’une « …politique commune dans différents domaines », « …la libre circulation des personnes, des services, des marchandises et des capitaux », « …la réalisation du développement industriel, agricole, commercial, social des Etats membres et la réunion des moyens nécessaires à cet effet, notamment en mettant sur pied des projets communs et en élaborant des programmes globaux et sectoriels ». </w:t>
      </w:r>
      <w:r w:rsidR="000335BC">
        <w:rPr>
          <w:lang w:val="fr-FR"/>
        </w:rPr>
        <w:t xml:space="preserve">C’est </w:t>
      </w:r>
      <w:r w:rsidR="00B83D07">
        <w:rPr>
          <w:lang w:val="fr-FR"/>
        </w:rPr>
        <w:t xml:space="preserve">une approche </w:t>
      </w:r>
      <w:r w:rsidR="00B83D07" w:rsidRPr="0043733E">
        <w:rPr>
          <w:lang w:val="fr-FR"/>
        </w:rPr>
        <w:t xml:space="preserve">plurielle, </w:t>
      </w:r>
      <w:r w:rsidR="00B83D07">
        <w:rPr>
          <w:lang w:val="fr-FR"/>
        </w:rPr>
        <w:t xml:space="preserve">qui </w:t>
      </w:r>
      <w:r w:rsidR="00727019">
        <w:rPr>
          <w:lang w:val="fr-FR"/>
        </w:rPr>
        <w:t xml:space="preserve">met en interaction la </w:t>
      </w:r>
      <w:r w:rsidR="00B83D07">
        <w:rPr>
          <w:lang w:val="fr-FR"/>
        </w:rPr>
        <w:t xml:space="preserve">mobilité des facteurs, </w:t>
      </w:r>
      <w:r w:rsidR="00727019">
        <w:rPr>
          <w:lang w:val="fr-FR"/>
        </w:rPr>
        <w:t xml:space="preserve">le </w:t>
      </w:r>
      <w:r w:rsidR="00B83D07">
        <w:rPr>
          <w:lang w:val="fr-FR"/>
        </w:rPr>
        <w:t xml:space="preserve">développement sectoriel </w:t>
      </w:r>
      <w:r w:rsidR="00B83D07" w:rsidRPr="0043733E">
        <w:rPr>
          <w:lang w:val="fr-FR"/>
        </w:rPr>
        <w:t xml:space="preserve">et </w:t>
      </w:r>
      <w:r w:rsidR="00727019">
        <w:rPr>
          <w:lang w:val="fr-FR"/>
        </w:rPr>
        <w:t>l’</w:t>
      </w:r>
      <w:r w:rsidR="00B83D07" w:rsidRPr="0043733E">
        <w:rPr>
          <w:lang w:val="fr-FR"/>
        </w:rPr>
        <w:t>intégration par l’encadrement normatif</w:t>
      </w:r>
      <w:r w:rsidR="00E03097">
        <w:rPr>
          <w:lang w:val="fr-FR"/>
        </w:rPr>
        <w:t xml:space="preserve"> (harmonisation des politiques)</w:t>
      </w:r>
      <w:r w:rsidR="00B83D07" w:rsidRPr="0043733E">
        <w:rPr>
          <w:lang w:val="fr-FR"/>
        </w:rPr>
        <w:t xml:space="preserve">. </w:t>
      </w:r>
      <w:r w:rsidR="006338A3">
        <w:rPr>
          <w:lang w:val="fr-FR"/>
        </w:rPr>
        <w:t>L’ensemble devrait permettre aux pays de l’</w:t>
      </w:r>
      <w:r w:rsidR="00727019">
        <w:rPr>
          <w:lang w:val="fr-FR"/>
        </w:rPr>
        <w:t xml:space="preserve">espace maghrébin </w:t>
      </w:r>
      <w:r w:rsidR="006338A3">
        <w:rPr>
          <w:lang w:val="fr-FR"/>
        </w:rPr>
        <w:t>de tirer profit des opportunités et complémentarités régionales existantes, afin d</w:t>
      </w:r>
      <w:r w:rsidR="00E03097">
        <w:rPr>
          <w:lang w:val="fr-FR"/>
        </w:rPr>
        <w:t>’</w:t>
      </w:r>
      <w:r w:rsidR="006338A3">
        <w:rPr>
          <w:lang w:val="fr-FR"/>
        </w:rPr>
        <w:t xml:space="preserve">améliorer leur accès au marché mondial, attirer davantage les investissements, </w:t>
      </w:r>
      <w:r w:rsidR="00EE1AB2">
        <w:rPr>
          <w:lang w:val="fr-FR"/>
        </w:rPr>
        <w:t xml:space="preserve">renforcer leurs pouvoirs de négociation au plan international et </w:t>
      </w:r>
      <w:r w:rsidR="006338A3">
        <w:rPr>
          <w:lang w:val="fr-FR"/>
        </w:rPr>
        <w:t xml:space="preserve">mutualiser les ressources pour formuler des réponses plus efficientes </w:t>
      </w:r>
      <w:r w:rsidR="00EE1AB2">
        <w:rPr>
          <w:lang w:val="fr-FR"/>
        </w:rPr>
        <w:t xml:space="preserve">à leurs </w:t>
      </w:r>
      <w:r w:rsidR="006338A3">
        <w:rPr>
          <w:lang w:val="fr-FR"/>
        </w:rPr>
        <w:t>défis communs</w:t>
      </w:r>
      <w:r w:rsidR="0032463F">
        <w:rPr>
          <w:lang w:val="fr-FR"/>
        </w:rPr>
        <w:t xml:space="preserve"> </w:t>
      </w:r>
      <w:r w:rsidR="00EE1AB2">
        <w:rPr>
          <w:lang w:val="fr-FR"/>
        </w:rPr>
        <w:t xml:space="preserve">que sont </w:t>
      </w:r>
      <w:r w:rsidR="00E03097">
        <w:rPr>
          <w:lang w:val="fr-FR"/>
        </w:rPr>
        <w:t>la croissance, l’emploi</w:t>
      </w:r>
      <w:r w:rsidR="00727019">
        <w:rPr>
          <w:lang w:val="fr-FR"/>
        </w:rPr>
        <w:t>, la sécurité alimentaire</w:t>
      </w:r>
      <w:r w:rsidR="00E03097">
        <w:rPr>
          <w:lang w:val="fr-FR"/>
        </w:rPr>
        <w:t xml:space="preserve"> ou </w:t>
      </w:r>
      <w:r w:rsidR="00727019">
        <w:rPr>
          <w:lang w:val="fr-FR"/>
        </w:rPr>
        <w:t xml:space="preserve">encore </w:t>
      </w:r>
      <w:r w:rsidR="00E03097">
        <w:rPr>
          <w:lang w:val="fr-FR"/>
        </w:rPr>
        <w:t xml:space="preserve">la gestion durable des ressources naturelles. Le renforcement des interdépendances </w:t>
      </w:r>
      <w:r w:rsidR="00082CC1">
        <w:rPr>
          <w:lang w:val="fr-FR"/>
        </w:rPr>
        <w:t xml:space="preserve">qui résulterait de l’élargissement de l’espace économique </w:t>
      </w:r>
      <w:r w:rsidR="00E03097">
        <w:rPr>
          <w:lang w:val="fr-FR"/>
        </w:rPr>
        <w:t xml:space="preserve">serait </w:t>
      </w:r>
      <w:r w:rsidR="00082CC1">
        <w:rPr>
          <w:lang w:val="fr-FR"/>
        </w:rPr>
        <w:t xml:space="preserve">par ailleurs </w:t>
      </w:r>
      <w:r w:rsidR="00E03097">
        <w:rPr>
          <w:lang w:val="fr-FR"/>
        </w:rPr>
        <w:t xml:space="preserve">un facteur de facilitation du </w:t>
      </w:r>
      <w:r w:rsidR="006338A3">
        <w:rPr>
          <w:lang w:val="fr-FR"/>
        </w:rPr>
        <w:t xml:space="preserve"> dialogue politique entre Etats</w:t>
      </w:r>
      <w:r w:rsidR="00E03097">
        <w:rPr>
          <w:lang w:val="fr-FR"/>
        </w:rPr>
        <w:t>,</w:t>
      </w:r>
      <w:r w:rsidR="006338A3">
        <w:rPr>
          <w:lang w:val="fr-FR"/>
        </w:rPr>
        <w:t xml:space="preserve"> pour la consolidation de la paix dans l’espace régional. </w:t>
      </w:r>
    </w:p>
    <w:p w:rsidR="003D5B18" w:rsidRDefault="001C3FF5">
      <w:pPr>
        <w:jc w:val="both"/>
        <w:rPr>
          <w:bCs/>
          <w:lang w:val="fr-FR"/>
        </w:rPr>
      </w:pPr>
      <w:r w:rsidRPr="001C3FF5">
        <w:rPr>
          <w:lang w:val="fr-FR"/>
        </w:rPr>
        <w:lastRenderedPageBreak/>
        <w:t>Le pro</w:t>
      </w:r>
      <w:r w:rsidR="00727019">
        <w:rPr>
          <w:lang w:val="fr-FR"/>
        </w:rPr>
        <w:t xml:space="preserve">jet </w:t>
      </w:r>
      <w:r w:rsidRPr="001C3FF5">
        <w:rPr>
          <w:lang w:val="fr-FR"/>
        </w:rPr>
        <w:t xml:space="preserve">d’intégration </w:t>
      </w:r>
      <w:r w:rsidR="00727019">
        <w:rPr>
          <w:lang w:val="fr-FR"/>
        </w:rPr>
        <w:t xml:space="preserve">maghrébine continue </w:t>
      </w:r>
      <w:r w:rsidRPr="001C3FF5">
        <w:rPr>
          <w:lang w:val="fr-FR"/>
        </w:rPr>
        <w:t xml:space="preserve">cependant </w:t>
      </w:r>
      <w:r w:rsidR="00727019">
        <w:rPr>
          <w:lang w:val="fr-FR"/>
        </w:rPr>
        <w:t xml:space="preserve">d’être </w:t>
      </w:r>
      <w:r w:rsidR="009B2D66">
        <w:rPr>
          <w:lang w:val="fr-FR"/>
        </w:rPr>
        <w:t xml:space="preserve">confronté </w:t>
      </w:r>
      <w:r w:rsidRPr="001C3FF5">
        <w:rPr>
          <w:lang w:val="fr-FR"/>
        </w:rPr>
        <w:t xml:space="preserve">à de multiples </w:t>
      </w:r>
      <w:r w:rsidR="009B2D66">
        <w:rPr>
          <w:lang w:val="fr-FR"/>
        </w:rPr>
        <w:t>obstacles</w:t>
      </w:r>
      <w:r w:rsidRPr="001C3FF5">
        <w:rPr>
          <w:lang w:val="fr-FR"/>
        </w:rPr>
        <w:t xml:space="preserve"> qui maintiennent la fragmentation des économies </w:t>
      </w:r>
      <w:r w:rsidR="000335BC">
        <w:rPr>
          <w:lang w:val="fr-FR"/>
        </w:rPr>
        <w:t xml:space="preserve">de la sous-région </w:t>
      </w:r>
      <w:r w:rsidRPr="001C3FF5">
        <w:rPr>
          <w:lang w:val="fr-FR"/>
        </w:rPr>
        <w:t>et en brident une partie d</w:t>
      </w:r>
      <w:r w:rsidR="00786AD5">
        <w:rPr>
          <w:lang w:val="fr-FR"/>
        </w:rPr>
        <w:t>u</w:t>
      </w:r>
      <w:r w:rsidRPr="001C3FF5">
        <w:rPr>
          <w:lang w:val="fr-FR"/>
        </w:rPr>
        <w:t xml:space="preserve"> potentiel de croissance. Deux décennies après la signature du traité de Marrakech, la zone de libre-échange de l’UMA </w:t>
      </w:r>
      <w:r w:rsidR="00B13CAD">
        <w:rPr>
          <w:lang w:val="fr-FR"/>
        </w:rPr>
        <w:t>initialement programmée pour 1992</w:t>
      </w:r>
      <w:r w:rsidRPr="001C3FF5">
        <w:rPr>
          <w:lang w:val="fr-FR"/>
        </w:rPr>
        <w:t>en est encore au stade de projet et l</w:t>
      </w:r>
      <w:r>
        <w:rPr>
          <w:lang w:val="fr-FR"/>
        </w:rPr>
        <w:t>e marché nord-africain</w:t>
      </w:r>
      <w:r w:rsidRPr="001C3FF5">
        <w:rPr>
          <w:lang w:val="fr-FR"/>
        </w:rPr>
        <w:t xml:space="preserve"> reste pour l’instant l’un des moins </w:t>
      </w:r>
      <w:r w:rsidR="00C82247">
        <w:rPr>
          <w:lang w:val="fr-FR"/>
        </w:rPr>
        <w:t>dynamiques</w:t>
      </w:r>
      <w:r w:rsidRPr="001C3FF5">
        <w:rPr>
          <w:lang w:val="fr-FR"/>
        </w:rPr>
        <w:t xml:space="preserve"> du Continent</w:t>
      </w:r>
      <w:r>
        <w:rPr>
          <w:lang w:val="fr-FR"/>
        </w:rPr>
        <w:t>, avec un commerce intra-régional oscillant autour de 3%</w:t>
      </w:r>
      <w:r w:rsidR="000D3776">
        <w:rPr>
          <w:lang w:val="fr-FR"/>
        </w:rPr>
        <w:t xml:space="preserve"> des importations totales</w:t>
      </w:r>
      <w:r w:rsidR="009B2D66">
        <w:rPr>
          <w:lang w:val="fr-FR"/>
        </w:rPr>
        <w:t xml:space="preserve"> des Etats membres</w:t>
      </w:r>
      <w:r w:rsidRPr="001C3FF5">
        <w:rPr>
          <w:lang w:val="fr-FR"/>
        </w:rPr>
        <w:t xml:space="preserve">. </w:t>
      </w:r>
      <w:r w:rsidR="00A16F46" w:rsidRPr="00A16F46">
        <w:rPr>
          <w:bCs/>
          <w:lang w:val="fr-FR"/>
        </w:rPr>
        <w:t xml:space="preserve">L’existence de quelques accords commerciaux </w:t>
      </w:r>
      <w:r w:rsidR="00137222">
        <w:rPr>
          <w:bCs/>
          <w:lang w:val="fr-FR"/>
        </w:rPr>
        <w:t xml:space="preserve">- </w:t>
      </w:r>
      <w:r w:rsidR="00A16F46" w:rsidRPr="00A16F46">
        <w:rPr>
          <w:bCs/>
          <w:lang w:val="fr-FR"/>
        </w:rPr>
        <w:t xml:space="preserve">bilatéraux ou conclus dans le cadre d’autres initiatives régionales (Accord d’Agadir, GAFTA) n’a pas donné </w:t>
      </w:r>
      <w:r w:rsidR="009E46CE">
        <w:rPr>
          <w:bCs/>
          <w:lang w:val="fr-FR"/>
        </w:rPr>
        <w:t>d</w:t>
      </w:r>
      <w:r w:rsidR="00A16F46" w:rsidRPr="00A16F46">
        <w:rPr>
          <w:bCs/>
          <w:lang w:val="fr-FR"/>
        </w:rPr>
        <w:t xml:space="preserve">e résultats </w:t>
      </w:r>
      <w:r w:rsidR="009E46CE">
        <w:rPr>
          <w:bCs/>
          <w:lang w:val="fr-FR"/>
        </w:rPr>
        <w:t xml:space="preserve">au niveau </w:t>
      </w:r>
      <w:r w:rsidR="00A16F46" w:rsidRPr="00A16F46">
        <w:rPr>
          <w:bCs/>
          <w:lang w:val="fr-FR"/>
        </w:rPr>
        <w:t xml:space="preserve">escompté, du fait notamment de la persistance de barrières </w:t>
      </w:r>
      <w:r w:rsidR="00137222">
        <w:rPr>
          <w:bCs/>
          <w:lang w:val="fr-FR"/>
        </w:rPr>
        <w:t xml:space="preserve">tarifaires et </w:t>
      </w:r>
      <w:r w:rsidR="00A16F46" w:rsidRPr="00A16F46">
        <w:rPr>
          <w:bCs/>
          <w:lang w:val="fr-FR"/>
        </w:rPr>
        <w:t xml:space="preserve">non tarifaires entre les Etats et, dans certains cas, d’environnements des affaires peu propices </w:t>
      </w:r>
      <w:r w:rsidR="00356950">
        <w:rPr>
          <w:bCs/>
          <w:lang w:val="fr-FR"/>
        </w:rPr>
        <w:t>aux IDE</w:t>
      </w:r>
      <w:r w:rsidR="00A16F46" w:rsidRPr="00A16F46">
        <w:rPr>
          <w:bCs/>
          <w:lang w:val="fr-FR"/>
        </w:rPr>
        <w:t xml:space="preserve">. L’Accord d’Agadir en particulier, qui avait vocation de promouvoir un partage de production par cumul des valeurs entre les Etats parties (Maroc, Tunisie, Egypte, Jordanie) pour mieux tirer profit de l’accès préférentiel au marché européen n’a pas modifié de manière </w:t>
      </w:r>
      <w:r w:rsidR="009E46CE">
        <w:rPr>
          <w:bCs/>
          <w:lang w:val="fr-FR"/>
        </w:rPr>
        <w:t>substantielle</w:t>
      </w:r>
      <w:r w:rsidR="00A16F46" w:rsidRPr="00A16F46">
        <w:rPr>
          <w:bCs/>
          <w:lang w:val="fr-FR"/>
        </w:rPr>
        <w:t xml:space="preserve"> le commerce intra-Afrique du Nord, ni la part des pays concernés sur le marché mondial de produits manufacturés. De même, les accords d’association signés avec l’Union Européenne </w:t>
      </w:r>
      <w:r w:rsidR="009E46CE">
        <w:rPr>
          <w:bCs/>
          <w:lang w:val="fr-FR"/>
        </w:rPr>
        <w:t xml:space="preserve">et </w:t>
      </w:r>
      <w:r w:rsidR="00A16F46" w:rsidRPr="00A16F46">
        <w:rPr>
          <w:bCs/>
          <w:lang w:val="fr-FR"/>
        </w:rPr>
        <w:t>entrés en vigueur entre 1998 et 2005 n’ont pas généré l’effet de levier escompté sur la diversification des exportations qui, pour la plupart, sont restées sur un nombre limité de produits à fort coefficient de main-d’œuvre et utilisant une part importante d’intrants importés (textiles, produits chimiques, matériels électriques notamment)</w:t>
      </w:r>
      <w:r w:rsidR="009E46CE">
        <w:rPr>
          <w:bCs/>
          <w:lang w:val="fr-FR"/>
        </w:rPr>
        <w:t xml:space="preserve">. </w:t>
      </w:r>
    </w:p>
    <w:p w:rsidR="00356950" w:rsidRDefault="00356950" w:rsidP="00D82D07">
      <w:pPr>
        <w:jc w:val="both"/>
        <w:rPr>
          <w:bCs/>
          <w:lang w:val="fr-FR"/>
        </w:rPr>
      </w:pPr>
    </w:p>
    <w:p w:rsidR="001C3FF5" w:rsidRPr="00A96773" w:rsidRDefault="001C3FF5" w:rsidP="00D82D07">
      <w:pPr>
        <w:jc w:val="both"/>
        <w:rPr>
          <w:lang w:val="fr-FR"/>
        </w:rPr>
      </w:pPr>
      <w:r w:rsidRPr="001C3FF5">
        <w:rPr>
          <w:lang w:val="fr-FR"/>
        </w:rPr>
        <w:t>E</w:t>
      </w:r>
      <w:r>
        <w:rPr>
          <w:lang w:val="fr-FR"/>
        </w:rPr>
        <w:t>n</w:t>
      </w:r>
      <w:r w:rsidRPr="001C3FF5">
        <w:rPr>
          <w:lang w:val="fr-FR"/>
        </w:rPr>
        <w:t xml:space="preserve"> matière de mobilité des facteurs et de libre circulation des personnes en particulier, les acquis restent limités et réversibles, en raison de la persistance de différends politiques entre </w:t>
      </w:r>
      <w:r w:rsidR="00727019">
        <w:rPr>
          <w:lang w:val="fr-FR"/>
        </w:rPr>
        <w:t xml:space="preserve">certains </w:t>
      </w:r>
      <w:r w:rsidRPr="001C3FF5">
        <w:rPr>
          <w:lang w:val="fr-FR"/>
        </w:rPr>
        <w:t xml:space="preserve">Etats et du regain d’insécurité observé depuis 2011 dans toute la zone sahélo-saharienne. Le droit communautaire </w:t>
      </w:r>
      <w:r>
        <w:rPr>
          <w:lang w:val="fr-FR"/>
        </w:rPr>
        <w:t xml:space="preserve">UMA (pour les quelques conventions déjà adoptées) </w:t>
      </w:r>
      <w:r w:rsidRPr="001C3FF5">
        <w:rPr>
          <w:lang w:val="fr-FR"/>
        </w:rPr>
        <w:t>demeure peu connu de</w:t>
      </w:r>
      <w:r w:rsidR="00C82247">
        <w:rPr>
          <w:lang w:val="fr-FR"/>
        </w:rPr>
        <w:t xml:space="preserve"> certains </w:t>
      </w:r>
      <w:r w:rsidRPr="001C3FF5">
        <w:rPr>
          <w:lang w:val="fr-FR"/>
        </w:rPr>
        <w:t>acteurs clés que sont les opérateurs économiques, la société civile, les milieux universitaires et les médias, toutes choses qui limitent la visibilité du processus d’intégration, en le privant de relais nationaux indispensables à son ancrage dans les politiques nationales de développement et dans les mentalités.</w:t>
      </w:r>
      <w:r w:rsidR="0032463F">
        <w:rPr>
          <w:lang w:val="fr-FR"/>
        </w:rPr>
        <w:t xml:space="preserve"> </w:t>
      </w:r>
      <w:r w:rsidRPr="00D82D07">
        <w:rPr>
          <w:lang w:val="fr-FR"/>
        </w:rPr>
        <w:t>Le</w:t>
      </w:r>
      <w:r w:rsidR="0032463F">
        <w:rPr>
          <w:lang w:val="fr-FR"/>
        </w:rPr>
        <w:t xml:space="preserve"> </w:t>
      </w:r>
      <w:r w:rsidR="00544807">
        <w:rPr>
          <w:lang w:val="fr-FR"/>
        </w:rPr>
        <w:t>dispositif</w:t>
      </w:r>
      <w:r w:rsidRPr="00D82D07">
        <w:rPr>
          <w:lang w:val="fr-FR"/>
        </w:rPr>
        <w:t xml:space="preserve"> institutionnel </w:t>
      </w:r>
      <w:r w:rsidR="007049E9">
        <w:rPr>
          <w:lang w:val="fr-FR"/>
        </w:rPr>
        <w:t xml:space="preserve">mis en place n’est pas encore </w:t>
      </w:r>
      <w:r w:rsidR="00082CC1">
        <w:rPr>
          <w:lang w:val="fr-FR"/>
        </w:rPr>
        <w:t xml:space="preserve">suffisamment </w:t>
      </w:r>
      <w:r w:rsidR="007049E9">
        <w:rPr>
          <w:lang w:val="fr-FR"/>
        </w:rPr>
        <w:t xml:space="preserve">opérationnel pour animer un </w:t>
      </w:r>
      <w:r w:rsidR="009B2D66">
        <w:rPr>
          <w:lang w:val="fr-FR"/>
        </w:rPr>
        <w:t xml:space="preserve">schéma </w:t>
      </w:r>
      <w:r w:rsidR="007049E9">
        <w:rPr>
          <w:lang w:val="fr-FR"/>
        </w:rPr>
        <w:t>d’intégration à dimension multisectorielle.</w:t>
      </w:r>
      <w:r w:rsidR="0032463F">
        <w:rPr>
          <w:lang w:val="fr-FR"/>
        </w:rPr>
        <w:t xml:space="preserve"> </w:t>
      </w:r>
      <w:r w:rsidR="00335444" w:rsidRPr="00A96773">
        <w:rPr>
          <w:lang w:val="fr-FR"/>
        </w:rPr>
        <w:t>L</w:t>
      </w:r>
      <w:r w:rsidR="00296186">
        <w:rPr>
          <w:lang w:val="fr-FR"/>
        </w:rPr>
        <w:t xml:space="preserve">’action du Secrétariat général </w:t>
      </w:r>
      <w:r w:rsidR="00335444" w:rsidRPr="00A96773">
        <w:rPr>
          <w:lang w:val="fr-FR"/>
        </w:rPr>
        <w:t xml:space="preserve">de l’UMA </w:t>
      </w:r>
      <w:r w:rsidR="00D669B3">
        <w:rPr>
          <w:lang w:val="fr-FR"/>
        </w:rPr>
        <w:t>-</w:t>
      </w:r>
      <w:r w:rsidR="007049E9">
        <w:rPr>
          <w:lang w:val="fr-FR"/>
        </w:rPr>
        <w:t xml:space="preserve">en particulier </w:t>
      </w:r>
      <w:r w:rsidR="00335444" w:rsidRPr="00A96773">
        <w:rPr>
          <w:lang w:val="fr-FR"/>
        </w:rPr>
        <w:t xml:space="preserve">continue d’être </w:t>
      </w:r>
      <w:r w:rsidR="002976BD">
        <w:rPr>
          <w:lang w:val="fr-FR"/>
        </w:rPr>
        <w:t xml:space="preserve">handicapée </w:t>
      </w:r>
      <w:r w:rsidR="00335444" w:rsidRPr="00A96773">
        <w:rPr>
          <w:lang w:val="fr-FR"/>
        </w:rPr>
        <w:t xml:space="preserve">par quelques obstacles majeurs dont </w:t>
      </w:r>
      <w:r w:rsidR="002976BD">
        <w:rPr>
          <w:lang w:val="fr-FR"/>
        </w:rPr>
        <w:t xml:space="preserve">l’irrégularité </w:t>
      </w:r>
      <w:r w:rsidR="002976BD" w:rsidRPr="00A96773">
        <w:rPr>
          <w:lang w:val="fr-FR"/>
        </w:rPr>
        <w:t>des réunions des organes délibérants de l’Union</w:t>
      </w:r>
      <w:r w:rsidR="002976BD">
        <w:rPr>
          <w:lang w:val="fr-FR"/>
        </w:rPr>
        <w:t xml:space="preserve">, une </w:t>
      </w:r>
      <w:r w:rsidRPr="00A96773">
        <w:rPr>
          <w:lang w:val="fr-FR"/>
        </w:rPr>
        <w:t xml:space="preserve">insuffisante dotation en moyens </w:t>
      </w:r>
      <w:r w:rsidR="00335444" w:rsidRPr="00A96773">
        <w:rPr>
          <w:lang w:val="fr-FR"/>
        </w:rPr>
        <w:t>humains</w:t>
      </w:r>
      <w:r w:rsidR="002976BD">
        <w:rPr>
          <w:lang w:val="fr-FR"/>
        </w:rPr>
        <w:t xml:space="preserve"> et financiers</w:t>
      </w:r>
      <w:r w:rsidRPr="00A96773">
        <w:rPr>
          <w:lang w:val="fr-FR"/>
        </w:rPr>
        <w:t xml:space="preserve">, </w:t>
      </w:r>
      <w:r w:rsidR="002976BD">
        <w:rPr>
          <w:lang w:val="fr-FR"/>
        </w:rPr>
        <w:t xml:space="preserve">et </w:t>
      </w:r>
      <w:r w:rsidR="009B2D66">
        <w:rPr>
          <w:lang w:val="fr-FR"/>
        </w:rPr>
        <w:t>une</w:t>
      </w:r>
      <w:r w:rsidRPr="00A96773">
        <w:rPr>
          <w:lang w:val="fr-FR"/>
        </w:rPr>
        <w:t xml:space="preserve"> relative dépendance vis-à-vis des partenaires extérieurs pour la réalisation d’études et activités substantives</w:t>
      </w:r>
      <w:r w:rsidR="002976BD">
        <w:rPr>
          <w:lang w:val="fr-FR"/>
        </w:rPr>
        <w:t>.</w:t>
      </w:r>
    </w:p>
    <w:p w:rsidR="001C3FF5" w:rsidRPr="001C3FF5" w:rsidRDefault="001C3FF5" w:rsidP="001C3FF5">
      <w:pPr>
        <w:jc w:val="both"/>
        <w:rPr>
          <w:lang w:val="fr-FR"/>
        </w:rPr>
      </w:pPr>
    </w:p>
    <w:p w:rsidR="001C3FF5" w:rsidRPr="001C3FF5" w:rsidRDefault="00284E26" w:rsidP="001C3FF5">
      <w:pPr>
        <w:jc w:val="both"/>
        <w:rPr>
          <w:lang w:val="fr-FR"/>
        </w:rPr>
      </w:pPr>
      <w:r>
        <w:rPr>
          <w:lang w:val="fr-FR"/>
        </w:rPr>
        <w:t>Une remise à niveau rapide du processus d’intégration de l’UMA est une nécessité pour les besoins d’une croissance plus soutenue des économies de la sous-région</w:t>
      </w:r>
      <w:r w:rsidR="00E90D95">
        <w:rPr>
          <w:lang w:val="fr-FR"/>
        </w:rPr>
        <w:t xml:space="preserve"> et le renforcement de leurs capacités de résilience aux chocs externes</w:t>
      </w:r>
      <w:r>
        <w:rPr>
          <w:lang w:val="fr-FR"/>
        </w:rPr>
        <w:t xml:space="preserve">. Elle l’est également pour </w:t>
      </w:r>
      <w:r w:rsidR="003917C7">
        <w:rPr>
          <w:lang w:val="fr-FR"/>
        </w:rPr>
        <w:t>le</w:t>
      </w:r>
      <w:r w:rsidR="0032463F">
        <w:rPr>
          <w:lang w:val="fr-FR"/>
        </w:rPr>
        <w:t xml:space="preserve"> </w:t>
      </w:r>
      <w:r w:rsidR="001C3FF5" w:rsidRPr="001C3FF5">
        <w:rPr>
          <w:lang w:val="fr-FR"/>
        </w:rPr>
        <w:t>positionnement stratégique optimal de l</w:t>
      </w:r>
      <w:r w:rsidR="00335444">
        <w:rPr>
          <w:lang w:val="fr-FR"/>
        </w:rPr>
        <w:t xml:space="preserve">’Afrique du Nord </w:t>
      </w:r>
      <w:r w:rsidR="001C3FF5" w:rsidRPr="001C3FF5">
        <w:rPr>
          <w:lang w:val="fr-FR"/>
        </w:rPr>
        <w:t xml:space="preserve">sur l’échiquier des groupements économiques en construction, </w:t>
      </w:r>
      <w:r w:rsidR="00B577F8">
        <w:rPr>
          <w:lang w:val="fr-FR"/>
        </w:rPr>
        <w:t>– Conseil de Coopération du Golfe, Marché Commun d’Amérique du Sud (MERCOSUR),  CEDEAO (</w:t>
      </w:r>
      <w:r w:rsidR="001C3FF5" w:rsidRPr="001C3FF5">
        <w:rPr>
          <w:lang w:val="fr-FR"/>
        </w:rPr>
        <w:t>Afrique de l’Ouest</w:t>
      </w:r>
      <w:r w:rsidR="00B577F8">
        <w:rPr>
          <w:lang w:val="fr-FR"/>
        </w:rPr>
        <w:t>)</w:t>
      </w:r>
      <w:r w:rsidR="009B7DEA">
        <w:rPr>
          <w:lang w:val="fr-FR"/>
        </w:rPr>
        <w:t xml:space="preserve">, </w:t>
      </w:r>
      <w:r w:rsidR="00B577F8">
        <w:rPr>
          <w:lang w:val="fr-FR"/>
        </w:rPr>
        <w:t xml:space="preserve">ASEAN (Asie du </w:t>
      </w:r>
      <w:r w:rsidR="00912811">
        <w:rPr>
          <w:lang w:val="fr-FR"/>
        </w:rPr>
        <w:t>Sud-est</w:t>
      </w:r>
      <w:r w:rsidR="00B577F8">
        <w:rPr>
          <w:lang w:val="fr-FR"/>
        </w:rPr>
        <w:t>)  SADC (</w:t>
      </w:r>
      <w:r w:rsidR="001C3FF5" w:rsidRPr="001C3FF5">
        <w:rPr>
          <w:lang w:val="fr-FR"/>
        </w:rPr>
        <w:t>Afrique Australe</w:t>
      </w:r>
      <w:r w:rsidR="00B577F8">
        <w:rPr>
          <w:lang w:val="fr-FR"/>
        </w:rPr>
        <w:t>)</w:t>
      </w:r>
      <w:r w:rsidR="00237370">
        <w:rPr>
          <w:lang w:val="fr-FR"/>
        </w:rPr>
        <w:t>,</w:t>
      </w:r>
      <w:r w:rsidR="001C3FF5" w:rsidRPr="001C3FF5">
        <w:rPr>
          <w:lang w:val="fr-FR"/>
        </w:rPr>
        <w:t xml:space="preserve"> et face au poids économique et politique du partenaire européen. </w:t>
      </w:r>
      <w:r w:rsidR="00335444">
        <w:rPr>
          <w:lang w:val="fr-FR"/>
        </w:rPr>
        <w:t xml:space="preserve">Cette exigence de relance </w:t>
      </w:r>
      <w:r w:rsidR="003A262D">
        <w:rPr>
          <w:lang w:val="fr-FR"/>
        </w:rPr>
        <w:t xml:space="preserve">et d’accélération de </w:t>
      </w:r>
      <w:r w:rsidR="00322678">
        <w:rPr>
          <w:lang w:val="fr-FR"/>
        </w:rPr>
        <w:t xml:space="preserve">la </w:t>
      </w:r>
      <w:r w:rsidR="003A262D">
        <w:rPr>
          <w:lang w:val="fr-FR"/>
        </w:rPr>
        <w:t xml:space="preserve">dynamique </w:t>
      </w:r>
      <w:r w:rsidR="00322678">
        <w:rPr>
          <w:lang w:val="fr-FR"/>
        </w:rPr>
        <w:t>de l’intégration</w:t>
      </w:r>
      <w:r w:rsidR="00727019">
        <w:rPr>
          <w:lang w:val="fr-FR"/>
        </w:rPr>
        <w:t xml:space="preserve"> maghrébine</w:t>
      </w:r>
      <w:r w:rsidR="00072606">
        <w:rPr>
          <w:lang w:val="fr-FR"/>
        </w:rPr>
        <w:t>,</w:t>
      </w:r>
      <w:r w:rsidR="0032463F">
        <w:rPr>
          <w:lang w:val="fr-FR"/>
        </w:rPr>
        <w:t xml:space="preserve"> </w:t>
      </w:r>
      <w:r w:rsidR="00981296">
        <w:rPr>
          <w:lang w:val="fr-FR"/>
        </w:rPr>
        <w:t xml:space="preserve">qui </w:t>
      </w:r>
      <w:r w:rsidR="00C82247">
        <w:rPr>
          <w:lang w:val="fr-FR"/>
        </w:rPr>
        <w:t xml:space="preserve"> s’exprime </w:t>
      </w:r>
      <w:r w:rsidR="00981296">
        <w:rPr>
          <w:lang w:val="fr-FR"/>
        </w:rPr>
        <w:t xml:space="preserve">de plus en plus dans le discours politique des dirigeants, </w:t>
      </w:r>
      <w:r w:rsidR="00082CC1">
        <w:rPr>
          <w:lang w:val="fr-FR"/>
        </w:rPr>
        <w:t>intervient</w:t>
      </w:r>
      <w:r w:rsidR="00981296">
        <w:rPr>
          <w:lang w:val="fr-FR"/>
        </w:rPr>
        <w:t xml:space="preserve"> dans </w:t>
      </w:r>
      <w:r w:rsidR="00A156EC">
        <w:rPr>
          <w:lang w:val="fr-FR"/>
        </w:rPr>
        <w:t xml:space="preserve">un </w:t>
      </w:r>
      <w:r w:rsidR="003456C1">
        <w:rPr>
          <w:lang w:val="fr-FR"/>
        </w:rPr>
        <w:t xml:space="preserve">environnement international caractérisé par des </w:t>
      </w:r>
      <w:r w:rsidR="00912811">
        <w:rPr>
          <w:lang w:val="fr-FR"/>
        </w:rPr>
        <w:t xml:space="preserve">mutations et </w:t>
      </w:r>
      <w:r w:rsidR="00A156EC">
        <w:rPr>
          <w:lang w:val="fr-FR"/>
        </w:rPr>
        <w:t xml:space="preserve">défis </w:t>
      </w:r>
      <w:r w:rsidR="00075CF7">
        <w:rPr>
          <w:lang w:val="fr-FR"/>
        </w:rPr>
        <w:t>pluriels</w:t>
      </w:r>
      <w:r w:rsidR="00912811">
        <w:rPr>
          <w:lang w:val="fr-FR"/>
        </w:rPr>
        <w:t>,</w:t>
      </w:r>
      <w:r w:rsidR="00075CF7">
        <w:rPr>
          <w:lang w:val="fr-FR"/>
        </w:rPr>
        <w:t xml:space="preserve"> dont les dynamiques s’</w:t>
      </w:r>
      <w:r w:rsidR="009460E8">
        <w:rPr>
          <w:lang w:val="fr-FR"/>
        </w:rPr>
        <w:t>autoalimentent</w:t>
      </w:r>
      <w:r w:rsidR="0032463F">
        <w:rPr>
          <w:lang w:val="fr-FR"/>
        </w:rPr>
        <w:t xml:space="preserve"> </w:t>
      </w:r>
      <w:r w:rsidR="00F67910">
        <w:rPr>
          <w:lang w:val="fr-FR"/>
        </w:rPr>
        <w:t xml:space="preserve">et </w:t>
      </w:r>
      <w:r w:rsidR="00912811">
        <w:rPr>
          <w:lang w:val="fr-FR"/>
        </w:rPr>
        <w:t>a</w:t>
      </w:r>
      <w:r w:rsidR="00F67910">
        <w:rPr>
          <w:lang w:val="fr-FR"/>
        </w:rPr>
        <w:t>ffecte</w:t>
      </w:r>
      <w:r w:rsidR="003456C1">
        <w:rPr>
          <w:lang w:val="fr-FR"/>
        </w:rPr>
        <w:t>nt</w:t>
      </w:r>
      <w:r w:rsidR="009460E8">
        <w:rPr>
          <w:lang w:val="fr-FR"/>
        </w:rPr>
        <w:t>,</w:t>
      </w:r>
      <w:r w:rsidR="0032463F">
        <w:rPr>
          <w:lang w:val="fr-FR"/>
        </w:rPr>
        <w:t xml:space="preserve"> </w:t>
      </w:r>
      <w:r w:rsidR="003456C1">
        <w:rPr>
          <w:lang w:val="fr-FR"/>
        </w:rPr>
        <w:t>à des degrés divers</w:t>
      </w:r>
      <w:r w:rsidR="009460E8">
        <w:rPr>
          <w:lang w:val="fr-FR"/>
        </w:rPr>
        <w:t>,</w:t>
      </w:r>
      <w:r w:rsidR="003456C1">
        <w:rPr>
          <w:lang w:val="fr-FR"/>
        </w:rPr>
        <w:t xml:space="preserve"> l</w:t>
      </w:r>
      <w:r w:rsidR="00E90D95">
        <w:rPr>
          <w:lang w:val="fr-FR"/>
        </w:rPr>
        <w:t xml:space="preserve">es </w:t>
      </w:r>
      <w:r w:rsidR="00912811">
        <w:rPr>
          <w:lang w:val="fr-FR"/>
        </w:rPr>
        <w:t>fondamentaux des économies nord-africaines</w:t>
      </w:r>
      <w:r w:rsidR="008E58EC">
        <w:rPr>
          <w:lang w:val="fr-FR"/>
        </w:rPr>
        <w:t xml:space="preserve"> : </w:t>
      </w:r>
      <w:r w:rsidR="00F67910">
        <w:rPr>
          <w:lang w:val="fr-FR"/>
        </w:rPr>
        <w:t xml:space="preserve"> effets retardés des crises économique et financière de la période 2008-2010</w:t>
      </w:r>
      <w:r w:rsidR="00912811">
        <w:rPr>
          <w:lang w:val="fr-FR"/>
        </w:rPr>
        <w:t xml:space="preserve"> sur la croissance mondiale</w:t>
      </w:r>
      <w:r w:rsidR="008E58EC">
        <w:rPr>
          <w:lang w:val="fr-FR"/>
        </w:rPr>
        <w:t>,</w:t>
      </w:r>
      <w:r w:rsidR="00912811">
        <w:rPr>
          <w:lang w:val="fr-FR"/>
        </w:rPr>
        <w:t xml:space="preserve">  crise des dettes souveraines </w:t>
      </w:r>
      <w:r w:rsidR="00E90D95">
        <w:rPr>
          <w:lang w:val="fr-FR"/>
        </w:rPr>
        <w:t xml:space="preserve">et quasi-récession dans la plupart des pays </w:t>
      </w:r>
      <w:r w:rsidR="00912811">
        <w:rPr>
          <w:lang w:val="fr-FR"/>
        </w:rPr>
        <w:t>de la zone Euro</w:t>
      </w:r>
      <w:r w:rsidR="00727019">
        <w:rPr>
          <w:lang w:val="fr-FR"/>
        </w:rPr>
        <w:t xml:space="preserve"> -</w:t>
      </w:r>
      <w:r w:rsidR="00912811">
        <w:rPr>
          <w:lang w:val="fr-FR"/>
        </w:rPr>
        <w:t>principal partenaire commercial de l’Afrique du Nord, déplacement du centre de gravité de l’économie mondiale vers l’Asie de l’Est</w:t>
      </w:r>
      <w:r w:rsidR="002B05FE">
        <w:rPr>
          <w:lang w:val="fr-FR"/>
        </w:rPr>
        <w:t xml:space="preserve">, </w:t>
      </w:r>
      <w:r w:rsidR="008D3912">
        <w:rPr>
          <w:lang w:val="fr-FR"/>
        </w:rPr>
        <w:t>multipolarité géo</w:t>
      </w:r>
      <w:r w:rsidR="002B05FE">
        <w:rPr>
          <w:lang w:val="fr-FR"/>
        </w:rPr>
        <w:t>stratégique</w:t>
      </w:r>
      <w:r w:rsidR="008D3912">
        <w:rPr>
          <w:lang w:val="fr-FR"/>
        </w:rPr>
        <w:t xml:space="preserve"> avec l’</w:t>
      </w:r>
      <w:r w:rsidR="00912811">
        <w:rPr>
          <w:lang w:val="fr-FR"/>
        </w:rPr>
        <w:t xml:space="preserve">émergence de nouveaux </w:t>
      </w:r>
      <w:r w:rsidR="008D3912">
        <w:rPr>
          <w:lang w:val="fr-FR"/>
        </w:rPr>
        <w:t>pôles de puissances économiques et politiques (BRICS, Turquie, Mexique, Argentine)</w:t>
      </w:r>
      <w:r w:rsidR="00912811">
        <w:rPr>
          <w:lang w:val="fr-FR"/>
        </w:rPr>
        <w:t xml:space="preserve">, tensions récurrentes sur les prix </w:t>
      </w:r>
      <w:r w:rsidR="002B05FE">
        <w:rPr>
          <w:lang w:val="fr-FR"/>
        </w:rPr>
        <w:t xml:space="preserve">des </w:t>
      </w:r>
      <w:r w:rsidR="00912811">
        <w:rPr>
          <w:lang w:val="fr-FR"/>
        </w:rPr>
        <w:t xml:space="preserve">produits alimentaires et du </w:t>
      </w:r>
      <w:r w:rsidR="00912811">
        <w:rPr>
          <w:lang w:val="fr-FR"/>
        </w:rPr>
        <w:lastRenderedPageBreak/>
        <w:t>pétrole</w:t>
      </w:r>
      <w:r w:rsidR="00075CF7">
        <w:rPr>
          <w:lang w:val="fr-FR"/>
        </w:rPr>
        <w:t xml:space="preserve">. </w:t>
      </w:r>
      <w:r w:rsidR="002B05FE">
        <w:rPr>
          <w:lang w:val="fr-FR"/>
        </w:rPr>
        <w:t>Au niveau sous-régional, la perspective d</w:t>
      </w:r>
      <w:r w:rsidR="008E58EC">
        <w:rPr>
          <w:lang w:val="fr-FR"/>
        </w:rPr>
        <w:t xml:space="preserve">e </w:t>
      </w:r>
      <w:r w:rsidR="002B05FE">
        <w:rPr>
          <w:lang w:val="fr-FR"/>
        </w:rPr>
        <w:t xml:space="preserve"> relance du processus d’intégration  </w:t>
      </w:r>
      <w:r w:rsidR="00382A12">
        <w:rPr>
          <w:lang w:val="fr-FR"/>
        </w:rPr>
        <w:t xml:space="preserve">se présente dans </w:t>
      </w:r>
      <w:r w:rsidR="00981296">
        <w:rPr>
          <w:lang w:val="fr-FR"/>
        </w:rPr>
        <w:t xml:space="preserve">le double contexte (i) de </w:t>
      </w:r>
      <w:r w:rsidR="00322678">
        <w:rPr>
          <w:lang w:val="fr-FR"/>
        </w:rPr>
        <w:t xml:space="preserve">bouleversements </w:t>
      </w:r>
      <w:r w:rsidR="00082CC1">
        <w:rPr>
          <w:lang w:val="fr-FR"/>
        </w:rPr>
        <w:t>socio</w:t>
      </w:r>
      <w:r w:rsidR="00322678">
        <w:rPr>
          <w:lang w:val="fr-FR"/>
        </w:rPr>
        <w:t xml:space="preserve">politiques </w:t>
      </w:r>
      <w:r w:rsidR="00981296">
        <w:rPr>
          <w:lang w:val="fr-FR"/>
        </w:rPr>
        <w:t>sans précédent dans l’histoire des pays d</w:t>
      </w:r>
      <w:r w:rsidR="00382A12">
        <w:rPr>
          <w:lang w:val="fr-FR"/>
        </w:rPr>
        <w:t>’Afrique du Nord</w:t>
      </w:r>
      <w:r w:rsidR="00981296">
        <w:rPr>
          <w:lang w:val="fr-FR"/>
        </w:rPr>
        <w:t xml:space="preserve"> et (ii) d</w:t>
      </w:r>
      <w:r w:rsidR="00E80537">
        <w:rPr>
          <w:lang w:val="fr-FR"/>
        </w:rPr>
        <w:t>’un</w:t>
      </w:r>
      <w:r w:rsidR="00981296">
        <w:rPr>
          <w:lang w:val="fr-FR"/>
        </w:rPr>
        <w:t xml:space="preserve">e </w:t>
      </w:r>
      <w:r w:rsidR="00E80537">
        <w:rPr>
          <w:lang w:val="fr-FR"/>
        </w:rPr>
        <w:t>juxtaposition d</w:t>
      </w:r>
      <w:r w:rsidR="008E58EC">
        <w:rPr>
          <w:lang w:val="fr-FR"/>
        </w:rPr>
        <w:t xml:space="preserve">e plusieurs </w:t>
      </w:r>
      <w:r w:rsidR="00E80537">
        <w:rPr>
          <w:lang w:val="fr-FR"/>
        </w:rPr>
        <w:t xml:space="preserve"> défis structurels de développement qui</w:t>
      </w:r>
      <w:r w:rsidR="00641173">
        <w:rPr>
          <w:lang w:val="fr-FR"/>
        </w:rPr>
        <w:t>,</w:t>
      </w:r>
      <w:r w:rsidR="0032463F">
        <w:rPr>
          <w:lang w:val="fr-FR"/>
        </w:rPr>
        <w:t xml:space="preserve"> </w:t>
      </w:r>
      <w:r w:rsidR="004B5D38">
        <w:rPr>
          <w:lang w:val="fr-FR"/>
        </w:rPr>
        <w:t>pour être relevés de manière efficiente</w:t>
      </w:r>
      <w:r w:rsidR="00AB3A57">
        <w:rPr>
          <w:lang w:val="fr-FR"/>
        </w:rPr>
        <w:t>,</w:t>
      </w:r>
      <w:r w:rsidR="004B5D38">
        <w:rPr>
          <w:lang w:val="fr-FR"/>
        </w:rPr>
        <w:t xml:space="preserve"> vont </w:t>
      </w:r>
      <w:r w:rsidR="00E80537">
        <w:rPr>
          <w:lang w:val="fr-FR"/>
        </w:rPr>
        <w:t>nécessite</w:t>
      </w:r>
      <w:r w:rsidR="00641173">
        <w:rPr>
          <w:lang w:val="fr-FR"/>
        </w:rPr>
        <w:t>r</w:t>
      </w:r>
      <w:r w:rsidR="00E80537">
        <w:rPr>
          <w:lang w:val="fr-FR"/>
        </w:rPr>
        <w:t xml:space="preserve"> la </w:t>
      </w:r>
      <w:r w:rsidR="00322678">
        <w:rPr>
          <w:lang w:val="fr-FR"/>
        </w:rPr>
        <w:t xml:space="preserve">mise en œuvre de réponses </w:t>
      </w:r>
      <w:r w:rsidR="00E80537">
        <w:rPr>
          <w:lang w:val="fr-FR"/>
        </w:rPr>
        <w:t>régionales</w:t>
      </w:r>
      <w:r w:rsidR="00322678">
        <w:rPr>
          <w:lang w:val="fr-FR"/>
        </w:rPr>
        <w:t xml:space="preserve">. </w:t>
      </w:r>
    </w:p>
    <w:p w:rsidR="0007503D" w:rsidRDefault="0007503D" w:rsidP="00F12A8C">
      <w:pPr>
        <w:jc w:val="both"/>
        <w:rPr>
          <w:lang w:val="fr-FR"/>
        </w:rPr>
      </w:pPr>
    </w:p>
    <w:p w:rsidR="00FB627C" w:rsidRPr="0032463F" w:rsidRDefault="001C3050" w:rsidP="00F245CA">
      <w:pPr>
        <w:jc w:val="both"/>
        <w:rPr>
          <w:b/>
          <w:i/>
          <w:color w:val="1F497D" w:themeColor="text2"/>
          <w:lang w:val="fr-FR"/>
        </w:rPr>
      </w:pPr>
      <w:r w:rsidRPr="001C3050">
        <w:rPr>
          <w:b/>
          <w:i/>
          <w:color w:val="1F497D" w:themeColor="text2"/>
          <w:lang w:val="fr-FR"/>
        </w:rPr>
        <w:t>Le nouvel environnement sociopolitique</w:t>
      </w:r>
    </w:p>
    <w:p w:rsidR="00FB627C" w:rsidRDefault="00FB627C" w:rsidP="00F245CA">
      <w:pPr>
        <w:jc w:val="both"/>
        <w:rPr>
          <w:lang w:val="fr-FR"/>
        </w:rPr>
      </w:pPr>
    </w:p>
    <w:p w:rsidR="00DB694D" w:rsidRDefault="001D0AC0" w:rsidP="00F245CA">
      <w:pPr>
        <w:jc w:val="both"/>
        <w:rPr>
          <w:rStyle w:val="Accentuation"/>
          <w:i w:val="0"/>
          <w:lang w:val="fr-FR"/>
        </w:rPr>
      </w:pPr>
      <w:r>
        <w:rPr>
          <w:lang w:val="fr-FR"/>
        </w:rPr>
        <w:t>L</w:t>
      </w:r>
      <w:r w:rsidR="001304E6">
        <w:rPr>
          <w:lang w:val="fr-FR"/>
        </w:rPr>
        <w:t xml:space="preserve">es évènements survenus en </w:t>
      </w:r>
      <w:r>
        <w:rPr>
          <w:lang w:val="fr-FR"/>
        </w:rPr>
        <w:t xml:space="preserve">2011 </w:t>
      </w:r>
      <w:r w:rsidR="00D82D07">
        <w:rPr>
          <w:lang w:val="fr-FR"/>
        </w:rPr>
        <w:t>et</w:t>
      </w:r>
      <w:r>
        <w:rPr>
          <w:lang w:val="fr-FR"/>
        </w:rPr>
        <w:t xml:space="preserve"> 2012 </w:t>
      </w:r>
      <w:r w:rsidR="003E04D8">
        <w:rPr>
          <w:lang w:val="fr-FR"/>
        </w:rPr>
        <w:t>marque</w:t>
      </w:r>
      <w:r w:rsidR="001304E6">
        <w:rPr>
          <w:lang w:val="fr-FR"/>
        </w:rPr>
        <w:t>nt</w:t>
      </w:r>
      <w:r w:rsidR="0032463F">
        <w:rPr>
          <w:lang w:val="fr-FR"/>
        </w:rPr>
        <w:t xml:space="preserve"> </w:t>
      </w:r>
      <w:r w:rsidRPr="00E80F54">
        <w:rPr>
          <w:rStyle w:val="Accentuation"/>
          <w:i w:val="0"/>
          <w:lang w:val="fr-FR"/>
        </w:rPr>
        <w:t xml:space="preserve">un tournant </w:t>
      </w:r>
      <w:r w:rsidR="001304E6">
        <w:rPr>
          <w:rStyle w:val="Accentuation"/>
          <w:i w:val="0"/>
          <w:lang w:val="fr-FR"/>
        </w:rPr>
        <w:t>décisif</w:t>
      </w:r>
      <w:r w:rsidRPr="00E80F54">
        <w:rPr>
          <w:rStyle w:val="Accentuation"/>
          <w:i w:val="0"/>
          <w:lang w:val="fr-FR"/>
        </w:rPr>
        <w:t xml:space="preserve"> dans la vie politique et institutionnelle de</w:t>
      </w:r>
      <w:r w:rsidR="001304E6">
        <w:rPr>
          <w:rStyle w:val="Accentuation"/>
          <w:i w:val="0"/>
          <w:lang w:val="fr-FR"/>
        </w:rPr>
        <w:t>s pays de la sous-région</w:t>
      </w:r>
      <w:r w:rsidRPr="00E80F54">
        <w:rPr>
          <w:rStyle w:val="Accentuation"/>
          <w:i w:val="0"/>
          <w:lang w:val="fr-FR"/>
        </w:rPr>
        <w:t xml:space="preserve">. </w:t>
      </w:r>
      <w:r>
        <w:rPr>
          <w:rStyle w:val="Accentuation"/>
          <w:i w:val="0"/>
          <w:lang w:val="fr-FR"/>
        </w:rPr>
        <w:t xml:space="preserve">Des </w:t>
      </w:r>
      <w:r w:rsidR="004D1485">
        <w:rPr>
          <w:rStyle w:val="Accentuation"/>
          <w:i w:val="0"/>
          <w:lang w:val="fr-FR"/>
        </w:rPr>
        <w:t xml:space="preserve">mouvements de révolte </w:t>
      </w:r>
      <w:r w:rsidR="00F176C2">
        <w:rPr>
          <w:rStyle w:val="Accentuation"/>
          <w:i w:val="0"/>
          <w:lang w:val="fr-FR"/>
        </w:rPr>
        <w:t>-</w:t>
      </w:r>
      <w:r w:rsidR="004D1485">
        <w:rPr>
          <w:rStyle w:val="Accentuation"/>
          <w:i w:val="0"/>
          <w:lang w:val="fr-FR"/>
        </w:rPr>
        <w:t>spontanés pour la plupart</w:t>
      </w:r>
      <w:r w:rsidR="00F176C2">
        <w:rPr>
          <w:rStyle w:val="Accentuation"/>
          <w:i w:val="0"/>
          <w:lang w:val="fr-FR"/>
        </w:rPr>
        <w:t>,</w:t>
      </w:r>
      <w:r w:rsidR="004D1485">
        <w:rPr>
          <w:rStyle w:val="Accentuation"/>
          <w:i w:val="0"/>
          <w:lang w:val="fr-FR"/>
        </w:rPr>
        <w:t xml:space="preserve"> et </w:t>
      </w:r>
      <w:r>
        <w:rPr>
          <w:rStyle w:val="Accentuation"/>
          <w:i w:val="0"/>
          <w:lang w:val="fr-FR"/>
        </w:rPr>
        <w:t>d’une ampleur sans précédent</w:t>
      </w:r>
      <w:r w:rsidR="00F176C2">
        <w:rPr>
          <w:rStyle w:val="Accentuation"/>
          <w:i w:val="0"/>
          <w:lang w:val="fr-FR"/>
        </w:rPr>
        <w:t>,</w:t>
      </w:r>
      <w:r>
        <w:rPr>
          <w:rStyle w:val="Accentuation"/>
          <w:i w:val="0"/>
          <w:lang w:val="fr-FR"/>
        </w:rPr>
        <w:t xml:space="preserve"> ont remis en cause les modèles de gouvernance </w:t>
      </w:r>
      <w:r w:rsidR="004D1485">
        <w:rPr>
          <w:rStyle w:val="Accentuation"/>
          <w:i w:val="0"/>
          <w:lang w:val="fr-FR"/>
        </w:rPr>
        <w:t xml:space="preserve">existants, </w:t>
      </w:r>
      <w:r w:rsidRPr="00E80F54">
        <w:rPr>
          <w:rStyle w:val="Accentuation"/>
          <w:i w:val="0"/>
          <w:lang w:val="fr-FR"/>
        </w:rPr>
        <w:t xml:space="preserve">qui </w:t>
      </w:r>
      <w:r>
        <w:rPr>
          <w:rStyle w:val="Accentuation"/>
          <w:i w:val="0"/>
          <w:lang w:val="fr-FR"/>
        </w:rPr>
        <w:t>jusque là semblaient</w:t>
      </w:r>
      <w:r w:rsidR="0032463F">
        <w:rPr>
          <w:rStyle w:val="Accentuation"/>
          <w:i w:val="0"/>
          <w:lang w:val="fr-FR"/>
        </w:rPr>
        <w:t xml:space="preserve"> </w:t>
      </w:r>
      <w:r w:rsidR="003E04D8">
        <w:rPr>
          <w:rStyle w:val="Accentuation"/>
          <w:i w:val="0"/>
          <w:lang w:val="fr-FR"/>
        </w:rPr>
        <w:t xml:space="preserve">pouvoir </w:t>
      </w:r>
      <w:r w:rsidR="00F176C2">
        <w:rPr>
          <w:rStyle w:val="Accentuation"/>
          <w:i w:val="0"/>
          <w:lang w:val="fr-FR"/>
        </w:rPr>
        <w:t>se prévaloir d’</w:t>
      </w:r>
      <w:r w:rsidR="004D1485">
        <w:rPr>
          <w:rStyle w:val="Accentuation"/>
          <w:i w:val="0"/>
          <w:lang w:val="fr-FR"/>
        </w:rPr>
        <w:t xml:space="preserve">une </w:t>
      </w:r>
      <w:r w:rsidR="00091524">
        <w:rPr>
          <w:rStyle w:val="Accentuation"/>
          <w:i w:val="0"/>
          <w:lang w:val="fr-FR"/>
        </w:rPr>
        <w:t xml:space="preserve">certaine </w:t>
      </w:r>
      <w:r w:rsidR="004D1485">
        <w:rPr>
          <w:rStyle w:val="Accentuation"/>
          <w:i w:val="0"/>
          <w:lang w:val="fr-FR"/>
        </w:rPr>
        <w:t>légitimité</w:t>
      </w:r>
      <w:r w:rsidR="0032463F">
        <w:rPr>
          <w:rStyle w:val="Accentuation"/>
          <w:i w:val="0"/>
          <w:lang w:val="fr-FR"/>
        </w:rPr>
        <w:t xml:space="preserve"> </w:t>
      </w:r>
      <w:r w:rsidR="004D1485">
        <w:rPr>
          <w:rStyle w:val="Accentuation"/>
          <w:i w:val="0"/>
          <w:lang w:val="fr-FR"/>
        </w:rPr>
        <w:t xml:space="preserve">à </w:t>
      </w:r>
      <w:r w:rsidR="000901A3">
        <w:rPr>
          <w:rStyle w:val="Accentuation"/>
          <w:i w:val="0"/>
          <w:lang w:val="fr-FR"/>
        </w:rPr>
        <w:t xml:space="preserve">la </w:t>
      </w:r>
      <w:r w:rsidR="004D1485">
        <w:rPr>
          <w:rStyle w:val="Accentuation"/>
          <w:i w:val="0"/>
          <w:lang w:val="fr-FR"/>
        </w:rPr>
        <w:t>fois interne et internationale</w:t>
      </w:r>
      <w:r>
        <w:rPr>
          <w:rStyle w:val="Accentuation"/>
          <w:i w:val="0"/>
          <w:lang w:val="fr-FR"/>
        </w:rPr>
        <w:t xml:space="preserve">, </w:t>
      </w:r>
      <w:r w:rsidR="004D1485">
        <w:rPr>
          <w:rStyle w:val="Accentuation"/>
          <w:i w:val="0"/>
          <w:lang w:val="fr-FR"/>
        </w:rPr>
        <w:t xml:space="preserve">au regard des progrès </w:t>
      </w:r>
      <w:r w:rsidR="00F176C2">
        <w:rPr>
          <w:rStyle w:val="Accentuation"/>
          <w:i w:val="0"/>
          <w:lang w:val="fr-FR"/>
        </w:rPr>
        <w:t xml:space="preserve">accomplis </w:t>
      </w:r>
      <w:r w:rsidR="004D1485">
        <w:rPr>
          <w:rStyle w:val="Accentuation"/>
          <w:i w:val="0"/>
          <w:lang w:val="fr-FR"/>
        </w:rPr>
        <w:t xml:space="preserve">en </w:t>
      </w:r>
      <w:r w:rsidR="00382A12">
        <w:rPr>
          <w:rStyle w:val="Accentuation"/>
          <w:i w:val="0"/>
          <w:lang w:val="fr-FR"/>
        </w:rPr>
        <w:t xml:space="preserve">termes </w:t>
      </w:r>
      <w:r w:rsidR="004D1485">
        <w:rPr>
          <w:rStyle w:val="Accentuation"/>
          <w:i w:val="0"/>
          <w:lang w:val="fr-FR"/>
        </w:rPr>
        <w:t xml:space="preserve"> de développement économique, d’une </w:t>
      </w:r>
      <w:r w:rsidR="00B36238">
        <w:rPr>
          <w:rStyle w:val="Accentuation"/>
          <w:i w:val="0"/>
          <w:lang w:val="fr-FR"/>
        </w:rPr>
        <w:t xml:space="preserve">certaine </w:t>
      </w:r>
      <w:r w:rsidR="00091524">
        <w:rPr>
          <w:rStyle w:val="Accentuation"/>
          <w:i w:val="0"/>
          <w:lang w:val="fr-FR"/>
        </w:rPr>
        <w:t xml:space="preserve">tradition de </w:t>
      </w:r>
      <w:r w:rsidR="004D1485">
        <w:rPr>
          <w:rStyle w:val="Accentuation"/>
          <w:i w:val="0"/>
          <w:lang w:val="fr-FR"/>
        </w:rPr>
        <w:t xml:space="preserve">stabilité </w:t>
      </w:r>
      <w:r w:rsidR="004D1F62">
        <w:rPr>
          <w:rStyle w:val="Accentuation"/>
          <w:i w:val="0"/>
          <w:lang w:val="fr-FR"/>
        </w:rPr>
        <w:t>institutionnelle</w:t>
      </w:r>
      <w:r w:rsidR="009D3860">
        <w:rPr>
          <w:rStyle w:val="Accentuation"/>
          <w:i w:val="0"/>
          <w:lang w:val="fr-FR"/>
        </w:rPr>
        <w:t>-</w:t>
      </w:r>
      <w:r w:rsidR="00091524">
        <w:rPr>
          <w:rStyle w:val="Accentuation"/>
          <w:i w:val="0"/>
          <w:lang w:val="fr-FR"/>
        </w:rPr>
        <w:t>comparativement à d’autres Etats du Continent</w:t>
      </w:r>
      <w:r w:rsidR="00072606">
        <w:rPr>
          <w:rStyle w:val="Accentuation"/>
          <w:i w:val="0"/>
          <w:lang w:val="fr-FR"/>
        </w:rPr>
        <w:t>,</w:t>
      </w:r>
      <w:r w:rsidR="0032463F">
        <w:rPr>
          <w:rStyle w:val="Accentuation"/>
          <w:i w:val="0"/>
          <w:lang w:val="fr-FR"/>
        </w:rPr>
        <w:t xml:space="preserve"> </w:t>
      </w:r>
      <w:r w:rsidR="004D1485">
        <w:rPr>
          <w:rStyle w:val="Accentuation"/>
          <w:i w:val="0"/>
          <w:lang w:val="fr-FR"/>
        </w:rPr>
        <w:t xml:space="preserve">et </w:t>
      </w:r>
      <w:r w:rsidR="001304E6">
        <w:rPr>
          <w:rStyle w:val="Accentuation"/>
          <w:i w:val="0"/>
          <w:lang w:val="fr-FR"/>
        </w:rPr>
        <w:t xml:space="preserve">de résultats en matière de </w:t>
      </w:r>
      <w:r w:rsidR="004D1485">
        <w:rPr>
          <w:rStyle w:val="Accentuation"/>
          <w:i w:val="0"/>
          <w:lang w:val="fr-FR"/>
        </w:rPr>
        <w:t xml:space="preserve">lutte contre </w:t>
      </w:r>
      <w:r w:rsidR="001304E6">
        <w:rPr>
          <w:rStyle w:val="Accentuation"/>
          <w:i w:val="0"/>
          <w:lang w:val="fr-FR"/>
        </w:rPr>
        <w:t>la montée d</w:t>
      </w:r>
      <w:r w:rsidR="004D1485">
        <w:rPr>
          <w:rStyle w:val="Accentuation"/>
          <w:i w:val="0"/>
          <w:lang w:val="fr-FR"/>
        </w:rPr>
        <w:t xml:space="preserve">e </w:t>
      </w:r>
      <w:r w:rsidR="000901A3">
        <w:rPr>
          <w:rStyle w:val="Accentuation"/>
          <w:i w:val="0"/>
          <w:lang w:val="fr-FR"/>
        </w:rPr>
        <w:t>l’</w:t>
      </w:r>
      <w:r w:rsidR="004D1485">
        <w:rPr>
          <w:rStyle w:val="Accentuation"/>
          <w:i w:val="0"/>
          <w:lang w:val="fr-FR"/>
        </w:rPr>
        <w:t xml:space="preserve">extrémisme. </w:t>
      </w:r>
      <w:r w:rsidR="00091524">
        <w:rPr>
          <w:rStyle w:val="Accentuation"/>
          <w:i w:val="0"/>
          <w:lang w:val="fr-FR"/>
        </w:rPr>
        <w:t xml:space="preserve">Les bouleversements qui se </w:t>
      </w:r>
      <w:r w:rsidRPr="00E80F54">
        <w:rPr>
          <w:rStyle w:val="Accentuation"/>
          <w:i w:val="0"/>
          <w:lang w:val="fr-FR"/>
        </w:rPr>
        <w:t xml:space="preserve">sont produits ont </w:t>
      </w:r>
      <w:r w:rsidR="004212CA">
        <w:rPr>
          <w:rStyle w:val="Accentuation"/>
          <w:i w:val="0"/>
          <w:lang w:val="fr-FR"/>
        </w:rPr>
        <w:t>toute</w:t>
      </w:r>
      <w:r w:rsidR="0032463F">
        <w:rPr>
          <w:rStyle w:val="Accentuation"/>
          <w:i w:val="0"/>
          <w:lang w:val="fr-FR"/>
        </w:rPr>
        <w:t xml:space="preserve"> </w:t>
      </w:r>
      <w:r w:rsidR="004212CA">
        <w:rPr>
          <w:rStyle w:val="Accentuation"/>
          <w:i w:val="0"/>
          <w:lang w:val="fr-FR"/>
        </w:rPr>
        <w:t>fois</w:t>
      </w:r>
      <w:r w:rsidR="0032463F">
        <w:rPr>
          <w:rStyle w:val="Accentuation"/>
          <w:i w:val="0"/>
          <w:lang w:val="fr-FR"/>
        </w:rPr>
        <w:t xml:space="preserve"> </w:t>
      </w:r>
      <w:r w:rsidR="00091524">
        <w:rPr>
          <w:rStyle w:val="Accentuation"/>
          <w:i w:val="0"/>
          <w:lang w:val="fr-FR"/>
        </w:rPr>
        <w:t>révélé les limites objectives de ces modèles</w:t>
      </w:r>
      <w:r w:rsidR="009619CE">
        <w:rPr>
          <w:rStyle w:val="Accentuation"/>
          <w:i w:val="0"/>
          <w:lang w:val="fr-FR"/>
        </w:rPr>
        <w:t xml:space="preserve">, </w:t>
      </w:r>
      <w:r w:rsidR="00F433D1">
        <w:rPr>
          <w:rStyle w:val="Accentuation"/>
          <w:i w:val="0"/>
          <w:lang w:val="fr-FR"/>
        </w:rPr>
        <w:t xml:space="preserve">dont </w:t>
      </w:r>
      <w:r w:rsidR="003E04D8">
        <w:rPr>
          <w:rStyle w:val="Accentuation"/>
          <w:i w:val="0"/>
          <w:lang w:val="fr-FR"/>
        </w:rPr>
        <w:t xml:space="preserve">les plus apparentes ont été </w:t>
      </w:r>
      <w:r w:rsidR="004212CA">
        <w:rPr>
          <w:rStyle w:val="Accentuation"/>
          <w:i w:val="0"/>
          <w:lang w:val="fr-FR"/>
        </w:rPr>
        <w:t xml:space="preserve">un </w:t>
      </w:r>
      <w:r w:rsidR="00F433D1">
        <w:rPr>
          <w:rStyle w:val="Accentuation"/>
          <w:i w:val="0"/>
          <w:lang w:val="fr-FR"/>
        </w:rPr>
        <w:t xml:space="preserve">accroissement </w:t>
      </w:r>
      <w:r w:rsidR="004212CA">
        <w:rPr>
          <w:rStyle w:val="Accentuation"/>
          <w:i w:val="0"/>
          <w:lang w:val="fr-FR"/>
        </w:rPr>
        <w:t xml:space="preserve">sensible </w:t>
      </w:r>
      <w:r w:rsidR="00F433D1">
        <w:rPr>
          <w:rStyle w:val="Accentuation"/>
          <w:i w:val="0"/>
          <w:lang w:val="fr-FR"/>
        </w:rPr>
        <w:t>des inégalités</w:t>
      </w:r>
      <w:r w:rsidR="0032463F">
        <w:rPr>
          <w:rStyle w:val="Accentuation"/>
          <w:i w:val="0"/>
          <w:lang w:val="fr-FR"/>
        </w:rPr>
        <w:t xml:space="preserve"> </w:t>
      </w:r>
      <w:r w:rsidR="003E04D8">
        <w:rPr>
          <w:rStyle w:val="Accentuation"/>
          <w:i w:val="0"/>
          <w:lang w:val="fr-FR"/>
        </w:rPr>
        <w:t>sociales</w:t>
      </w:r>
      <w:r w:rsidR="001304E6">
        <w:rPr>
          <w:rStyle w:val="Accentuation"/>
          <w:i w:val="0"/>
          <w:lang w:val="fr-FR"/>
        </w:rPr>
        <w:t xml:space="preserve"> et de la vulnérabilité</w:t>
      </w:r>
      <w:r w:rsidR="00F433D1">
        <w:rPr>
          <w:rStyle w:val="Accentuation"/>
          <w:i w:val="0"/>
          <w:lang w:val="fr-FR"/>
        </w:rPr>
        <w:t xml:space="preserve">, </w:t>
      </w:r>
      <w:r w:rsidR="00D448EC">
        <w:rPr>
          <w:rStyle w:val="Accentuation"/>
          <w:i w:val="0"/>
          <w:lang w:val="fr-FR"/>
        </w:rPr>
        <w:t xml:space="preserve">le déficit de transparence, de </w:t>
      </w:r>
      <w:r w:rsidR="00F433D1">
        <w:rPr>
          <w:rStyle w:val="Accentuation"/>
          <w:i w:val="0"/>
          <w:lang w:val="fr-FR"/>
        </w:rPr>
        <w:t>gouvernance</w:t>
      </w:r>
      <w:r w:rsidR="0032463F">
        <w:rPr>
          <w:rStyle w:val="Accentuation"/>
          <w:i w:val="0"/>
          <w:lang w:val="fr-FR"/>
        </w:rPr>
        <w:t xml:space="preserve"> </w:t>
      </w:r>
      <w:r w:rsidR="00D448EC">
        <w:rPr>
          <w:rStyle w:val="Accentuation"/>
          <w:i w:val="0"/>
          <w:lang w:val="fr-FR"/>
        </w:rPr>
        <w:t xml:space="preserve">participative </w:t>
      </w:r>
      <w:r w:rsidR="009D3860">
        <w:rPr>
          <w:rStyle w:val="Accentuation"/>
          <w:i w:val="0"/>
          <w:lang w:val="fr-FR"/>
        </w:rPr>
        <w:t xml:space="preserve">et de libertés. </w:t>
      </w:r>
      <w:r w:rsidR="00F176C2">
        <w:rPr>
          <w:rStyle w:val="Accentuation"/>
          <w:i w:val="0"/>
          <w:lang w:val="fr-FR"/>
        </w:rPr>
        <w:t>A</w:t>
      </w:r>
      <w:r w:rsidR="003E04D8">
        <w:rPr>
          <w:rStyle w:val="Accentuation"/>
          <w:i w:val="0"/>
          <w:lang w:val="fr-FR"/>
        </w:rPr>
        <w:t xml:space="preserve"> travers d</w:t>
      </w:r>
      <w:r w:rsidR="00F176C2">
        <w:rPr>
          <w:rStyle w:val="Accentuation"/>
          <w:i w:val="0"/>
          <w:lang w:val="fr-FR"/>
        </w:rPr>
        <w:t>iverses formes de contestation et de revendication, l</w:t>
      </w:r>
      <w:r w:rsidR="004E75C4">
        <w:rPr>
          <w:rStyle w:val="Accentuation"/>
          <w:i w:val="0"/>
          <w:lang w:val="fr-FR"/>
        </w:rPr>
        <w:t>es populations</w:t>
      </w:r>
      <w:r w:rsidR="00072606">
        <w:rPr>
          <w:rStyle w:val="Accentuation"/>
          <w:i w:val="0"/>
          <w:lang w:val="fr-FR"/>
        </w:rPr>
        <w:t xml:space="preserve">  -</w:t>
      </w:r>
      <w:r w:rsidR="004E75C4">
        <w:rPr>
          <w:rStyle w:val="Accentuation"/>
          <w:i w:val="0"/>
          <w:lang w:val="fr-FR"/>
        </w:rPr>
        <w:t xml:space="preserve">les jeunes en particulier, ont exprimé une demande forte et plurielle, pour une alternance politique, une </w:t>
      </w:r>
      <w:r w:rsidRPr="00E80F54">
        <w:rPr>
          <w:rStyle w:val="Accentuation"/>
          <w:i w:val="0"/>
          <w:lang w:val="fr-FR"/>
        </w:rPr>
        <w:t xml:space="preserve">gouvernance </w:t>
      </w:r>
      <w:r w:rsidR="004E75C4">
        <w:rPr>
          <w:rStyle w:val="Accentuation"/>
          <w:i w:val="0"/>
          <w:lang w:val="fr-FR"/>
        </w:rPr>
        <w:t>plus inclusive</w:t>
      </w:r>
      <w:r w:rsidRPr="00E80F54">
        <w:rPr>
          <w:rStyle w:val="Accentuation"/>
          <w:i w:val="0"/>
          <w:lang w:val="fr-FR"/>
        </w:rPr>
        <w:t xml:space="preserve">, davantage de démocratie, de libertés, d’emplois décents, </w:t>
      </w:r>
      <w:r w:rsidR="004E75C4">
        <w:rPr>
          <w:rStyle w:val="Accentuation"/>
          <w:i w:val="0"/>
          <w:lang w:val="fr-FR"/>
        </w:rPr>
        <w:t xml:space="preserve">de transparence </w:t>
      </w:r>
      <w:r w:rsidRPr="00E80F54">
        <w:rPr>
          <w:rStyle w:val="Accentuation"/>
          <w:i w:val="0"/>
          <w:lang w:val="fr-FR"/>
        </w:rPr>
        <w:t xml:space="preserve">et </w:t>
      </w:r>
      <w:r w:rsidR="004E75C4">
        <w:rPr>
          <w:rStyle w:val="Accentuation"/>
          <w:i w:val="0"/>
          <w:lang w:val="fr-FR"/>
        </w:rPr>
        <w:t xml:space="preserve">d’équité </w:t>
      </w:r>
      <w:r w:rsidRPr="00E80F54">
        <w:rPr>
          <w:rStyle w:val="Accentuation"/>
          <w:i w:val="0"/>
          <w:lang w:val="fr-FR"/>
        </w:rPr>
        <w:t xml:space="preserve">dans la répartition des fruits de la croissance. </w:t>
      </w:r>
    </w:p>
    <w:p w:rsidR="00DB694D" w:rsidRDefault="00DB694D" w:rsidP="00F245CA">
      <w:pPr>
        <w:jc w:val="both"/>
        <w:rPr>
          <w:rStyle w:val="Accentuation"/>
          <w:i w:val="0"/>
          <w:lang w:val="fr-FR"/>
        </w:rPr>
      </w:pPr>
    </w:p>
    <w:p w:rsidR="003E04D8" w:rsidRDefault="00D448EC" w:rsidP="00F245CA">
      <w:pPr>
        <w:jc w:val="both"/>
        <w:rPr>
          <w:lang w:val="fr-FR"/>
        </w:rPr>
      </w:pPr>
      <w:r>
        <w:rPr>
          <w:rStyle w:val="Accentuation"/>
          <w:i w:val="0"/>
          <w:lang w:val="fr-FR"/>
        </w:rPr>
        <w:t xml:space="preserve">Ces évènements se sont </w:t>
      </w:r>
      <w:r w:rsidR="002C0263">
        <w:rPr>
          <w:rStyle w:val="Accentuation"/>
          <w:i w:val="0"/>
          <w:lang w:val="fr-FR"/>
        </w:rPr>
        <w:t xml:space="preserve">déjà </w:t>
      </w:r>
      <w:r>
        <w:rPr>
          <w:rStyle w:val="Accentuation"/>
          <w:i w:val="0"/>
          <w:lang w:val="fr-FR"/>
        </w:rPr>
        <w:t xml:space="preserve">traduits par le lancement d’une première série de réformes, portant </w:t>
      </w:r>
      <w:r w:rsidR="002C0263">
        <w:rPr>
          <w:rStyle w:val="Accentuation"/>
          <w:i w:val="0"/>
          <w:lang w:val="fr-FR"/>
        </w:rPr>
        <w:t xml:space="preserve">principalement </w:t>
      </w:r>
      <w:r w:rsidR="00DB694D" w:rsidRPr="00DB694D">
        <w:rPr>
          <w:rStyle w:val="Accentuation"/>
          <w:i w:val="0"/>
          <w:lang w:val="fr-FR"/>
        </w:rPr>
        <w:t>sur l’élargissement des espaces de liberté, l’ouverture du champ politique, la mise en place de nouvelles institutions et l’organisation d’élections pluralistes et plus transparentes</w:t>
      </w:r>
      <w:r w:rsidR="00DB694D" w:rsidRPr="00DB694D">
        <w:rPr>
          <w:rStyle w:val="Accentuation"/>
          <w:lang w:val="fr-FR"/>
        </w:rPr>
        <w:t>.</w:t>
      </w:r>
      <w:r w:rsidR="0032463F">
        <w:rPr>
          <w:rStyle w:val="Accentuation"/>
          <w:lang w:val="fr-FR"/>
        </w:rPr>
        <w:t xml:space="preserve"> </w:t>
      </w:r>
      <w:r>
        <w:rPr>
          <w:lang w:val="fr-FR"/>
        </w:rPr>
        <w:t xml:space="preserve">Une </w:t>
      </w:r>
      <w:r w:rsidRPr="00DB694D">
        <w:rPr>
          <w:rStyle w:val="Accentuation"/>
          <w:i w:val="0"/>
          <w:lang w:val="fr-FR"/>
        </w:rPr>
        <w:t>nouvelle relation se met en place entre le citoyen et les gouvernants</w:t>
      </w:r>
      <w:r>
        <w:rPr>
          <w:rStyle w:val="Accentuation"/>
          <w:i w:val="0"/>
          <w:lang w:val="fr-FR"/>
        </w:rPr>
        <w:t>,</w:t>
      </w:r>
      <w:r w:rsidRPr="00DB694D">
        <w:rPr>
          <w:rStyle w:val="Accentuation"/>
          <w:i w:val="0"/>
          <w:lang w:val="fr-FR"/>
        </w:rPr>
        <w:t xml:space="preserve"> empreinte d’une exigence </w:t>
      </w:r>
      <w:r w:rsidR="001304E6">
        <w:rPr>
          <w:rStyle w:val="Accentuation"/>
          <w:i w:val="0"/>
          <w:lang w:val="fr-FR"/>
        </w:rPr>
        <w:t xml:space="preserve">plus forte </w:t>
      </w:r>
      <w:r w:rsidRPr="00DB694D">
        <w:rPr>
          <w:rStyle w:val="Accentuation"/>
          <w:i w:val="0"/>
          <w:lang w:val="fr-FR"/>
        </w:rPr>
        <w:t>en termes d’efficacité d</w:t>
      </w:r>
      <w:r w:rsidR="001304E6">
        <w:rPr>
          <w:rStyle w:val="Accentuation"/>
          <w:i w:val="0"/>
          <w:lang w:val="fr-FR"/>
        </w:rPr>
        <w:t>u</w:t>
      </w:r>
      <w:r w:rsidRPr="00DB694D">
        <w:rPr>
          <w:rStyle w:val="Accentuation"/>
          <w:i w:val="0"/>
          <w:lang w:val="fr-FR"/>
        </w:rPr>
        <w:t xml:space="preserve"> service public et d’obligation de reddition des comptes à tous les niveaux de responsabilité.</w:t>
      </w:r>
      <w:r w:rsidR="0032463F">
        <w:rPr>
          <w:rStyle w:val="Accentuation"/>
          <w:i w:val="0"/>
          <w:lang w:val="fr-FR"/>
        </w:rPr>
        <w:t xml:space="preserve"> </w:t>
      </w:r>
      <w:r w:rsidR="00425203">
        <w:rPr>
          <w:rStyle w:val="Accentuation"/>
          <w:i w:val="0"/>
          <w:lang w:val="fr-FR"/>
        </w:rPr>
        <w:t>Plus que par le passé, l</w:t>
      </w:r>
      <w:r w:rsidR="00DB694D" w:rsidRPr="00DB694D">
        <w:rPr>
          <w:lang w:val="fr-FR"/>
        </w:rPr>
        <w:t>e renforcement de l’état de droit et de la bonne gouvernance s</w:t>
      </w:r>
      <w:r w:rsidR="001304E6">
        <w:rPr>
          <w:lang w:val="fr-FR"/>
        </w:rPr>
        <w:t xml:space="preserve">ont appelés à devenir </w:t>
      </w:r>
      <w:r w:rsidR="00DB694D" w:rsidRPr="00DB694D">
        <w:rPr>
          <w:lang w:val="fr-FR"/>
        </w:rPr>
        <w:t xml:space="preserve">des </w:t>
      </w:r>
      <w:r w:rsidR="001304E6">
        <w:rPr>
          <w:lang w:val="fr-FR"/>
        </w:rPr>
        <w:t>constantes</w:t>
      </w:r>
      <w:r w:rsidR="00DB694D" w:rsidRPr="00DB694D">
        <w:rPr>
          <w:lang w:val="fr-FR"/>
        </w:rPr>
        <w:t xml:space="preserve"> de</w:t>
      </w:r>
      <w:r w:rsidR="004212CA">
        <w:rPr>
          <w:lang w:val="fr-FR"/>
        </w:rPr>
        <w:t>s</w:t>
      </w:r>
      <w:r w:rsidR="00DB694D" w:rsidRPr="00DB694D">
        <w:rPr>
          <w:lang w:val="fr-FR"/>
        </w:rPr>
        <w:t xml:space="preserve"> stratégies </w:t>
      </w:r>
      <w:r w:rsidR="004212CA">
        <w:rPr>
          <w:lang w:val="fr-FR"/>
        </w:rPr>
        <w:t xml:space="preserve">nationales </w:t>
      </w:r>
      <w:r w:rsidR="00DB694D" w:rsidRPr="00DB694D">
        <w:rPr>
          <w:lang w:val="fr-FR"/>
        </w:rPr>
        <w:t xml:space="preserve">de développement, avec entre autres objectifs spécifiques </w:t>
      </w:r>
      <w:r w:rsidR="00425203" w:rsidRPr="00DB694D">
        <w:rPr>
          <w:lang w:val="fr-FR"/>
        </w:rPr>
        <w:t>une participation plus inclusive des citoyens et des groupes sociaux</w:t>
      </w:r>
      <w:r w:rsidR="00425203">
        <w:rPr>
          <w:lang w:val="fr-FR"/>
        </w:rPr>
        <w:t>,</w:t>
      </w:r>
      <w:r w:rsidR="0032463F">
        <w:rPr>
          <w:lang w:val="fr-FR"/>
        </w:rPr>
        <w:t xml:space="preserve"> </w:t>
      </w:r>
      <w:r w:rsidR="00A22211">
        <w:rPr>
          <w:lang w:val="fr-FR"/>
        </w:rPr>
        <w:t xml:space="preserve">l’amélioration des performances des économies, </w:t>
      </w:r>
      <w:r w:rsidR="00C957A7">
        <w:rPr>
          <w:lang w:val="fr-FR"/>
        </w:rPr>
        <w:t xml:space="preserve">une redistribution plus équitable des richesses, </w:t>
      </w:r>
      <w:r w:rsidR="00DB694D" w:rsidRPr="00DB694D">
        <w:rPr>
          <w:lang w:val="fr-FR"/>
        </w:rPr>
        <w:t xml:space="preserve">la modernisation </w:t>
      </w:r>
      <w:r w:rsidR="00A22211">
        <w:rPr>
          <w:lang w:val="fr-FR"/>
        </w:rPr>
        <w:t xml:space="preserve">et l’efficacité </w:t>
      </w:r>
      <w:r w:rsidR="00DB694D" w:rsidRPr="00DB694D">
        <w:rPr>
          <w:lang w:val="fr-FR"/>
        </w:rPr>
        <w:t xml:space="preserve">des administrations </w:t>
      </w:r>
      <w:r w:rsidR="00A22211">
        <w:rPr>
          <w:lang w:val="fr-FR"/>
        </w:rPr>
        <w:t>publiques</w:t>
      </w:r>
      <w:r w:rsidR="00C957A7">
        <w:rPr>
          <w:lang w:val="fr-FR"/>
        </w:rPr>
        <w:t xml:space="preserve">. </w:t>
      </w:r>
    </w:p>
    <w:p w:rsidR="00755458" w:rsidRDefault="00755458" w:rsidP="00F245CA">
      <w:pPr>
        <w:jc w:val="both"/>
        <w:rPr>
          <w:lang w:val="fr-FR"/>
        </w:rPr>
      </w:pPr>
    </w:p>
    <w:p w:rsidR="00755458" w:rsidRPr="003E04D8" w:rsidRDefault="00755458" w:rsidP="00F245CA">
      <w:pPr>
        <w:jc w:val="both"/>
        <w:rPr>
          <w:iCs/>
          <w:lang w:val="fr-FR"/>
        </w:rPr>
      </w:pPr>
      <w:r w:rsidRPr="00DB694D">
        <w:rPr>
          <w:lang w:val="fr-FR"/>
        </w:rPr>
        <w:t xml:space="preserve">Cette mutation </w:t>
      </w:r>
      <w:r>
        <w:rPr>
          <w:lang w:val="fr-FR"/>
        </w:rPr>
        <w:t xml:space="preserve">rapide </w:t>
      </w:r>
      <w:r w:rsidRPr="00DB694D">
        <w:rPr>
          <w:lang w:val="fr-FR"/>
        </w:rPr>
        <w:t>de l’environnement politique s’accompagne</w:t>
      </w:r>
      <w:r>
        <w:rPr>
          <w:lang w:val="fr-FR"/>
        </w:rPr>
        <w:t xml:space="preserve"> aussi de l’émergence de nouveaux acteurs politiques qui </w:t>
      </w:r>
      <w:r w:rsidR="00296186">
        <w:rPr>
          <w:lang w:val="fr-FR"/>
        </w:rPr>
        <w:t xml:space="preserve">devront faire </w:t>
      </w:r>
      <w:r w:rsidR="007367B9">
        <w:rPr>
          <w:lang w:val="fr-FR"/>
        </w:rPr>
        <w:t xml:space="preserve">ou approfondir </w:t>
      </w:r>
      <w:r w:rsidR="00296186">
        <w:rPr>
          <w:lang w:val="fr-FR"/>
        </w:rPr>
        <w:t xml:space="preserve">leur </w:t>
      </w:r>
      <w:r w:rsidRPr="00DB694D">
        <w:rPr>
          <w:lang w:val="fr-FR"/>
        </w:rPr>
        <w:t xml:space="preserve">apprentissage des </w:t>
      </w:r>
      <w:r>
        <w:rPr>
          <w:lang w:val="fr-FR"/>
        </w:rPr>
        <w:t>règles du jeu démocratique, aux fins d’un</w:t>
      </w:r>
      <w:r w:rsidRPr="00DB694D">
        <w:rPr>
          <w:lang w:val="fr-FR"/>
        </w:rPr>
        <w:t xml:space="preserve"> bon usage</w:t>
      </w:r>
      <w:r w:rsidR="00641173">
        <w:rPr>
          <w:lang w:val="fr-FR"/>
        </w:rPr>
        <w:t xml:space="preserve"> par tous </w:t>
      </w:r>
      <w:r w:rsidRPr="00DB694D">
        <w:rPr>
          <w:lang w:val="fr-FR"/>
        </w:rPr>
        <w:t xml:space="preserve">des libertés publiques, </w:t>
      </w:r>
      <w:r>
        <w:rPr>
          <w:lang w:val="fr-FR"/>
        </w:rPr>
        <w:t xml:space="preserve">d’une gestion apaisée des processus électoraux, de  </w:t>
      </w:r>
      <w:r w:rsidRPr="00DB694D">
        <w:rPr>
          <w:lang w:val="fr-FR"/>
        </w:rPr>
        <w:t xml:space="preserve">la promotion d’une culture de tolérance et de respect des droits humains. Des programmes de mise à niveau et de renforcement des capacités </w:t>
      </w:r>
      <w:r w:rsidR="00500469">
        <w:rPr>
          <w:lang w:val="fr-FR"/>
        </w:rPr>
        <w:t xml:space="preserve">notamment </w:t>
      </w:r>
      <w:r w:rsidRPr="00DB694D">
        <w:rPr>
          <w:lang w:val="fr-FR"/>
        </w:rPr>
        <w:t xml:space="preserve">seront  nécessaires, tant pour les différents corps de l’état (administration territoriale, collectivités locales et autres démembrements, justice, système sécuritaire, régies financières…), que pour les acteurs de la société civile.  </w:t>
      </w:r>
    </w:p>
    <w:p w:rsidR="00425203" w:rsidRDefault="00425203" w:rsidP="00F245CA">
      <w:pPr>
        <w:jc w:val="both"/>
        <w:rPr>
          <w:lang w:val="fr-FR"/>
        </w:rPr>
      </w:pPr>
    </w:p>
    <w:p w:rsidR="003D5B18" w:rsidRDefault="001C3050">
      <w:pPr>
        <w:jc w:val="both"/>
        <w:rPr>
          <w:b/>
          <w:i/>
          <w:color w:val="1F497D" w:themeColor="text2"/>
          <w:lang w:val="fr-FR"/>
        </w:rPr>
      </w:pPr>
      <w:r w:rsidRPr="001C3050">
        <w:rPr>
          <w:b/>
          <w:i/>
          <w:color w:val="1F497D" w:themeColor="text2"/>
          <w:lang w:val="fr-FR"/>
        </w:rPr>
        <w:t>Des défis structurels communs en matière de développement économique et social</w:t>
      </w:r>
    </w:p>
    <w:p w:rsidR="00FB627C" w:rsidRDefault="00FB627C" w:rsidP="00093C1F">
      <w:pPr>
        <w:ind w:left="-567"/>
        <w:jc w:val="both"/>
        <w:rPr>
          <w:lang w:val="fr-FR"/>
        </w:rPr>
      </w:pPr>
    </w:p>
    <w:p w:rsidR="00093C1F" w:rsidRDefault="00F02CCB" w:rsidP="00F245CA">
      <w:pPr>
        <w:jc w:val="both"/>
        <w:rPr>
          <w:lang w:val="fr-FR"/>
        </w:rPr>
      </w:pPr>
      <w:r>
        <w:rPr>
          <w:lang w:val="fr-FR"/>
        </w:rPr>
        <w:t>A</w:t>
      </w:r>
      <w:r w:rsidR="00431BBD" w:rsidRPr="00431BBD">
        <w:rPr>
          <w:lang w:val="fr-FR"/>
        </w:rPr>
        <w:t xml:space="preserve">u-delà de l’enjeu immédiat d’une gestion apaisée des transitions politiques en cours, </w:t>
      </w:r>
      <w:r>
        <w:rPr>
          <w:lang w:val="fr-FR"/>
        </w:rPr>
        <w:t xml:space="preserve">la </w:t>
      </w:r>
      <w:r w:rsidRPr="00431BBD">
        <w:rPr>
          <w:lang w:val="fr-FR"/>
        </w:rPr>
        <w:t xml:space="preserve">nouvelle donne régionale </w:t>
      </w:r>
      <w:r w:rsidR="00431BBD" w:rsidRPr="00431BBD">
        <w:rPr>
          <w:lang w:val="fr-FR"/>
        </w:rPr>
        <w:t xml:space="preserve">va </w:t>
      </w:r>
      <w:r w:rsidR="00C957A7">
        <w:rPr>
          <w:lang w:val="fr-FR"/>
        </w:rPr>
        <w:t>surtout</w:t>
      </w:r>
      <w:r w:rsidR="0032463F">
        <w:rPr>
          <w:lang w:val="fr-FR"/>
        </w:rPr>
        <w:t xml:space="preserve"> </w:t>
      </w:r>
      <w:r w:rsidR="00E24F5C">
        <w:rPr>
          <w:lang w:val="fr-FR"/>
        </w:rPr>
        <w:t xml:space="preserve">nécessiter </w:t>
      </w:r>
      <w:r w:rsidR="00431BBD" w:rsidRPr="00431BBD">
        <w:rPr>
          <w:lang w:val="fr-FR"/>
        </w:rPr>
        <w:t xml:space="preserve">la formulation </w:t>
      </w:r>
      <w:r w:rsidR="00E24F5C">
        <w:rPr>
          <w:lang w:val="fr-FR"/>
        </w:rPr>
        <w:t xml:space="preserve">à court et moyen terme </w:t>
      </w:r>
      <w:r w:rsidR="00431BBD" w:rsidRPr="00431BBD">
        <w:rPr>
          <w:lang w:val="fr-FR"/>
        </w:rPr>
        <w:t xml:space="preserve">de stratégies de remise à niveau des appareils productifs </w:t>
      </w:r>
      <w:r w:rsidR="001447D5">
        <w:rPr>
          <w:lang w:val="fr-FR"/>
        </w:rPr>
        <w:t>-</w:t>
      </w:r>
      <w:r w:rsidR="00E24F5C">
        <w:rPr>
          <w:lang w:val="fr-FR"/>
        </w:rPr>
        <w:t xml:space="preserve">dont certains ont été fortement affectés par les évènements, </w:t>
      </w:r>
      <w:r w:rsidR="00431BBD" w:rsidRPr="00431BBD">
        <w:rPr>
          <w:lang w:val="fr-FR"/>
        </w:rPr>
        <w:t xml:space="preserve">et </w:t>
      </w:r>
      <w:r>
        <w:rPr>
          <w:lang w:val="fr-FR"/>
        </w:rPr>
        <w:t>d’</w:t>
      </w:r>
      <w:r w:rsidR="00431BBD" w:rsidRPr="00431BBD">
        <w:rPr>
          <w:lang w:val="fr-FR"/>
        </w:rPr>
        <w:t>un nombre important de réformes économiques et sociales</w:t>
      </w:r>
      <w:r w:rsidR="00431BBD">
        <w:rPr>
          <w:lang w:val="fr-FR"/>
        </w:rPr>
        <w:t xml:space="preserve">, pour mieux répondre </w:t>
      </w:r>
      <w:r>
        <w:rPr>
          <w:lang w:val="fr-FR"/>
        </w:rPr>
        <w:t>aux défis de développement</w:t>
      </w:r>
      <w:r w:rsidR="00E24F5C">
        <w:rPr>
          <w:lang w:val="fr-FR"/>
        </w:rPr>
        <w:t xml:space="preserve"> de la sous-région</w:t>
      </w:r>
      <w:r w:rsidR="00AB3A57">
        <w:rPr>
          <w:lang w:val="fr-FR"/>
        </w:rPr>
        <w:t xml:space="preserve"> et aux attentes </w:t>
      </w:r>
      <w:r w:rsidR="00072606">
        <w:rPr>
          <w:lang w:val="fr-FR"/>
        </w:rPr>
        <w:t>exprimées par l</w:t>
      </w:r>
      <w:r w:rsidR="00AB3A57">
        <w:rPr>
          <w:lang w:val="fr-FR"/>
        </w:rPr>
        <w:t>es populations  durant les mouvements de révolte</w:t>
      </w:r>
      <w:r w:rsidR="00E24F5C">
        <w:rPr>
          <w:lang w:val="fr-FR"/>
        </w:rPr>
        <w:t>.</w:t>
      </w:r>
    </w:p>
    <w:p w:rsidR="00093C1F" w:rsidRDefault="00093C1F" w:rsidP="00093C1F">
      <w:pPr>
        <w:ind w:left="-567"/>
        <w:jc w:val="both"/>
        <w:rPr>
          <w:lang w:val="fr-FR"/>
        </w:rPr>
      </w:pPr>
    </w:p>
    <w:p w:rsidR="001A60D5" w:rsidRDefault="00E24F5C" w:rsidP="00F245CA">
      <w:pPr>
        <w:jc w:val="both"/>
        <w:rPr>
          <w:lang w:val="fr-FR"/>
        </w:rPr>
      </w:pPr>
      <w:r>
        <w:rPr>
          <w:lang w:val="fr-FR"/>
        </w:rPr>
        <w:t xml:space="preserve">Bien que composée pour la plupart de pays à revenu intermédiaire, l’Afrique du </w:t>
      </w:r>
      <w:r w:rsidR="003C15D9">
        <w:rPr>
          <w:lang w:val="fr-FR"/>
        </w:rPr>
        <w:t xml:space="preserve">Nord continue  d’accuser un </w:t>
      </w:r>
      <w:r w:rsidR="00A63007">
        <w:rPr>
          <w:lang w:val="fr-FR"/>
        </w:rPr>
        <w:t>déficit</w:t>
      </w:r>
      <w:r w:rsidR="003C15D9">
        <w:rPr>
          <w:lang w:val="fr-FR"/>
        </w:rPr>
        <w:t xml:space="preserve"> en termes de transformation structurelle de ses économies et de création d’emplois décents.</w:t>
      </w:r>
      <w:r w:rsidR="0032463F">
        <w:rPr>
          <w:lang w:val="fr-FR"/>
        </w:rPr>
        <w:t xml:space="preserve"> </w:t>
      </w:r>
      <w:r w:rsidR="00093C1F" w:rsidRPr="00093C1F">
        <w:rPr>
          <w:rFonts w:eastAsia="Calibri"/>
          <w:color w:val="000000"/>
          <w:lang w:val="fr-FR"/>
        </w:rPr>
        <w:t>L</w:t>
      </w:r>
      <w:r w:rsidR="00093C1F" w:rsidRPr="00093C1F">
        <w:rPr>
          <w:lang w:val="fr-FR"/>
        </w:rPr>
        <w:t>es produits primaires restent pour l’essentiel les principaux moteurs de la croissance</w:t>
      </w:r>
      <w:r w:rsidR="00093C1F">
        <w:rPr>
          <w:lang w:val="fr-FR"/>
        </w:rPr>
        <w:t xml:space="preserve">, et </w:t>
      </w:r>
      <w:r w:rsidR="00093C1F" w:rsidRPr="00093C1F">
        <w:rPr>
          <w:lang w:val="fr-FR"/>
        </w:rPr>
        <w:t>l</w:t>
      </w:r>
      <w:r w:rsidR="00093C1F" w:rsidRPr="00093C1F">
        <w:rPr>
          <w:rStyle w:val="longtext1"/>
          <w:sz w:val="24"/>
          <w:szCs w:val="24"/>
          <w:shd w:val="clear" w:color="auto" w:fill="FFFFFF"/>
          <w:lang w:val="fr-FR"/>
        </w:rPr>
        <w:t xml:space="preserve">es hydrocarbures bruts dominent largement la structure du commerce extérieur régional. En valeur relative, leur poids s’est </w:t>
      </w:r>
      <w:r w:rsidR="00D82D07">
        <w:rPr>
          <w:rStyle w:val="longtext1"/>
          <w:sz w:val="24"/>
          <w:szCs w:val="24"/>
          <w:shd w:val="clear" w:color="auto" w:fill="FFFFFF"/>
          <w:lang w:val="fr-FR"/>
        </w:rPr>
        <w:t xml:space="preserve">du reste </w:t>
      </w:r>
      <w:r w:rsidR="00093C1F" w:rsidRPr="00093C1F">
        <w:rPr>
          <w:rStyle w:val="longtext1"/>
          <w:sz w:val="24"/>
          <w:szCs w:val="24"/>
          <w:shd w:val="clear" w:color="auto" w:fill="FFFFFF"/>
          <w:lang w:val="fr-FR"/>
        </w:rPr>
        <w:t xml:space="preserve">accru au cours de la décennie 2001-2010, </w:t>
      </w:r>
      <w:r w:rsidR="00D82D07">
        <w:rPr>
          <w:rStyle w:val="longtext1"/>
          <w:sz w:val="24"/>
          <w:szCs w:val="24"/>
          <w:shd w:val="clear" w:color="auto" w:fill="FFFFFF"/>
          <w:lang w:val="fr-FR"/>
        </w:rPr>
        <w:t xml:space="preserve">passant </w:t>
      </w:r>
      <w:r w:rsidR="00093C1F" w:rsidRPr="00093C1F">
        <w:rPr>
          <w:rStyle w:val="longtext1"/>
          <w:sz w:val="24"/>
          <w:szCs w:val="24"/>
          <w:shd w:val="clear" w:color="auto" w:fill="FFFFFF"/>
          <w:lang w:val="fr-FR"/>
        </w:rPr>
        <w:t>de 75,6 à 79,3% des exportations totales de l’ensemble régional</w:t>
      </w:r>
      <w:r w:rsidR="003D728B">
        <w:rPr>
          <w:rStyle w:val="longtext1"/>
          <w:sz w:val="24"/>
          <w:szCs w:val="24"/>
          <w:shd w:val="clear" w:color="auto" w:fill="FFFFFF"/>
          <w:lang w:val="fr-FR"/>
        </w:rPr>
        <w:t xml:space="preserve">, </w:t>
      </w:r>
      <w:r w:rsidR="00641173">
        <w:rPr>
          <w:rStyle w:val="longtext1"/>
          <w:sz w:val="24"/>
          <w:szCs w:val="24"/>
          <w:shd w:val="clear" w:color="auto" w:fill="FFFFFF"/>
          <w:lang w:val="fr-FR"/>
        </w:rPr>
        <w:t>ce</w:t>
      </w:r>
      <w:r w:rsidR="003D728B">
        <w:rPr>
          <w:rStyle w:val="longtext1"/>
          <w:sz w:val="24"/>
          <w:szCs w:val="24"/>
          <w:shd w:val="clear" w:color="auto" w:fill="FFFFFF"/>
          <w:lang w:val="fr-FR"/>
        </w:rPr>
        <w:t xml:space="preserve"> qui expose fortement les économies nationales aux chocs exogènes liés aux variations des cours mondiaux des produits de base</w:t>
      </w:r>
      <w:r w:rsidR="00093C1F" w:rsidRPr="00093C1F">
        <w:rPr>
          <w:rStyle w:val="longtext1"/>
          <w:sz w:val="24"/>
          <w:szCs w:val="24"/>
          <w:shd w:val="clear" w:color="auto" w:fill="FFFFFF"/>
          <w:lang w:val="fr-FR"/>
        </w:rPr>
        <w:t xml:space="preserve">. L’indice du volume des exportations a </w:t>
      </w:r>
      <w:r w:rsidR="00093C1F">
        <w:rPr>
          <w:rStyle w:val="longtext1"/>
          <w:sz w:val="24"/>
          <w:szCs w:val="24"/>
          <w:shd w:val="clear" w:color="auto" w:fill="FFFFFF"/>
          <w:lang w:val="fr-FR"/>
        </w:rPr>
        <w:t xml:space="preserve">faiblement </w:t>
      </w:r>
      <w:r w:rsidR="00093C1F" w:rsidRPr="00093C1F">
        <w:rPr>
          <w:rStyle w:val="longtext1"/>
          <w:sz w:val="24"/>
          <w:szCs w:val="24"/>
          <w:shd w:val="clear" w:color="auto" w:fill="FFFFFF"/>
          <w:lang w:val="fr-FR"/>
        </w:rPr>
        <w:t>progressé entre 2001 et 2010</w:t>
      </w:r>
      <w:r w:rsidR="00D82D07">
        <w:rPr>
          <w:rStyle w:val="longtext1"/>
          <w:sz w:val="24"/>
          <w:szCs w:val="24"/>
          <w:shd w:val="clear" w:color="auto" w:fill="FFFFFF"/>
          <w:lang w:val="fr-FR"/>
        </w:rPr>
        <w:t xml:space="preserve"> (</w:t>
      </w:r>
      <w:r w:rsidR="00093C1F" w:rsidRPr="00093C1F">
        <w:rPr>
          <w:rStyle w:val="longtext1"/>
          <w:sz w:val="24"/>
          <w:szCs w:val="24"/>
          <w:shd w:val="clear" w:color="auto" w:fill="FFFFFF"/>
          <w:lang w:val="fr-FR"/>
        </w:rPr>
        <w:t>de 97,5 à 121,1</w:t>
      </w:r>
      <w:r w:rsidR="00D82D07">
        <w:rPr>
          <w:rStyle w:val="longtext1"/>
          <w:sz w:val="24"/>
          <w:szCs w:val="24"/>
          <w:shd w:val="clear" w:color="auto" w:fill="FFFFFF"/>
          <w:lang w:val="fr-FR"/>
        </w:rPr>
        <w:t>)</w:t>
      </w:r>
      <w:r w:rsidR="00093C1F" w:rsidRPr="00093C1F">
        <w:rPr>
          <w:rStyle w:val="longtext1"/>
          <w:sz w:val="24"/>
          <w:szCs w:val="24"/>
          <w:shd w:val="clear" w:color="auto" w:fill="FFFFFF"/>
          <w:lang w:val="fr-FR"/>
        </w:rPr>
        <w:t>, co</w:t>
      </w:r>
      <w:r w:rsidR="00D82D07">
        <w:rPr>
          <w:rStyle w:val="longtext1"/>
          <w:sz w:val="24"/>
          <w:szCs w:val="24"/>
          <w:shd w:val="clear" w:color="auto" w:fill="FFFFFF"/>
          <w:lang w:val="fr-FR"/>
        </w:rPr>
        <w:t>mparativement à</w:t>
      </w:r>
      <w:r w:rsidR="00093C1F" w:rsidRPr="00093C1F">
        <w:rPr>
          <w:rStyle w:val="longtext1"/>
          <w:sz w:val="24"/>
          <w:szCs w:val="24"/>
          <w:shd w:val="clear" w:color="auto" w:fill="FFFFFF"/>
          <w:lang w:val="fr-FR"/>
        </w:rPr>
        <w:t xml:space="preserve"> l’Asie en développement</w:t>
      </w:r>
      <w:r w:rsidR="0032463F">
        <w:rPr>
          <w:rStyle w:val="longtext1"/>
          <w:sz w:val="24"/>
          <w:szCs w:val="24"/>
          <w:shd w:val="clear" w:color="auto" w:fill="FFFFFF"/>
          <w:lang w:val="fr-FR"/>
        </w:rPr>
        <w:t xml:space="preserve"> </w:t>
      </w:r>
      <w:r w:rsidR="008E139F">
        <w:rPr>
          <w:rStyle w:val="longtext1"/>
          <w:sz w:val="24"/>
          <w:szCs w:val="24"/>
          <w:shd w:val="clear" w:color="auto" w:fill="FFFFFF"/>
          <w:lang w:val="fr-FR"/>
        </w:rPr>
        <w:t xml:space="preserve">notamment </w:t>
      </w:r>
      <w:r w:rsidR="00D82D07">
        <w:rPr>
          <w:rStyle w:val="longtext1"/>
          <w:sz w:val="24"/>
          <w:szCs w:val="24"/>
          <w:shd w:val="clear" w:color="auto" w:fill="FFFFFF"/>
          <w:lang w:val="fr-FR"/>
        </w:rPr>
        <w:t>(232,4)</w:t>
      </w:r>
      <w:r w:rsidR="00093C1F" w:rsidRPr="00093C1F">
        <w:rPr>
          <w:rStyle w:val="longtext1"/>
          <w:sz w:val="24"/>
          <w:szCs w:val="24"/>
          <w:shd w:val="clear" w:color="auto" w:fill="FFFFFF"/>
          <w:lang w:val="fr-FR"/>
        </w:rPr>
        <w:t xml:space="preserve">. </w:t>
      </w:r>
      <w:r w:rsidR="00093C1F" w:rsidRPr="00EA6AE2">
        <w:rPr>
          <w:rStyle w:val="longtext1"/>
          <w:sz w:val="24"/>
          <w:szCs w:val="24"/>
          <w:shd w:val="clear" w:color="auto" w:fill="FFFFFF"/>
          <w:lang w:val="fr-FR"/>
        </w:rPr>
        <w:t xml:space="preserve">Par ailleurs, </w:t>
      </w:r>
      <w:r w:rsidR="00093C1F" w:rsidRPr="00EA6AE2">
        <w:rPr>
          <w:color w:val="000000"/>
          <w:lang w:val="fr-FR"/>
        </w:rPr>
        <w:t xml:space="preserve">la croissance appréciable du PIB enregistrée au cours des deux dernières décennies </w:t>
      </w:r>
      <w:r w:rsidR="00093C1F" w:rsidRPr="00EA6AE2">
        <w:rPr>
          <w:lang w:val="fr-FR"/>
        </w:rPr>
        <w:t xml:space="preserve">a eu un effet limité sur l’emploi. </w:t>
      </w:r>
      <w:r w:rsidR="00093C1F" w:rsidRPr="00EA6AE2">
        <w:rPr>
          <w:rStyle w:val="longtext1"/>
          <w:shd w:val="clear" w:color="auto" w:fill="FFFFFF"/>
          <w:lang w:val="fr-FR"/>
        </w:rPr>
        <w:t>En</w:t>
      </w:r>
      <w:r w:rsidR="00093C1F" w:rsidRPr="00EA6AE2">
        <w:rPr>
          <w:lang w:val="fr-FR"/>
        </w:rPr>
        <w:t>tre 1991 et 2010, le ratio emploi/population a très peu évolué (43 à 46%) et reste pour l’instant le plus faible du Continent. Les données disponibles</w:t>
      </w:r>
      <w:r w:rsidR="0032463F">
        <w:rPr>
          <w:lang w:val="fr-FR"/>
        </w:rPr>
        <w:t xml:space="preserve"> </w:t>
      </w:r>
      <w:r w:rsidR="00093C1F" w:rsidRPr="00EA6AE2">
        <w:rPr>
          <w:lang w:val="fr-FR"/>
        </w:rPr>
        <w:t xml:space="preserve">montrent pour la plupart des Etats une absence de progrès tangibles dans la lutte contre le chômage ou, au mieux, un léger tassement du nombre des demandeurs d’emploi. </w:t>
      </w:r>
      <w:r w:rsidR="00093C1F" w:rsidRPr="00093C1F">
        <w:rPr>
          <w:lang w:val="fr-FR"/>
        </w:rPr>
        <w:t>L</w:t>
      </w:r>
      <w:r w:rsidR="00093C1F" w:rsidRPr="003D6840">
        <w:rPr>
          <w:lang w:val="fr-CA"/>
        </w:rPr>
        <w:t>a croissance de l’économie et les investissements productifs enregistrés durant la décennie 2000 n’ont pas été suffisants pour absorber l’augmentation de la population active. Le secteur privé reste i</w:t>
      </w:r>
      <w:r w:rsidR="00093C1F">
        <w:rPr>
          <w:lang w:val="fr-CA"/>
        </w:rPr>
        <w:t>nsuffisamment développé</w:t>
      </w:r>
      <w:r w:rsidR="00093C1F" w:rsidRPr="003D6840">
        <w:rPr>
          <w:lang w:val="fr-CA"/>
        </w:rPr>
        <w:t xml:space="preserve"> et les </w:t>
      </w:r>
      <w:r w:rsidR="007367B9">
        <w:rPr>
          <w:lang w:val="fr-CA"/>
        </w:rPr>
        <w:t xml:space="preserve">impératifs de gestion des équilibres budgétaires limitent les </w:t>
      </w:r>
      <w:r w:rsidR="00093C1F" w:rsidRPr="003D6840">
        <w:rPr>
          <w:lang w:val="fr-CA"/>
        </w:rPr>
        <w:t xml:space="preserve">capacités d’absorption de la demande de main-d’œuvre par le secteur public. </w:t>
      </w:r>
      <w:r w:rsidR="007367B9">
        <w:rPr>
          <w:lang w:val="fr-CA"/>
        </w:rPr>
        <w:t>Comparativement à l’Asie de l’est (30%) le ratio de l</w:t>
      </w:r>
      <w:r w:rsidR="00D37ECF">
        <w:rPr>
          <w:lang w:val="fr-CA"/>
        </w:rPr>
        <w:t>’</w:t>
      </w:r>
      <w:r w:rsidR="00093C1F" w:rsidRPr="003D6840">
        <w:rPr>
          <w:lang w:val="fr-CA"/>
        </w:rPr>
        <w:t xml:space="preserve">investissement privé </w:t>
      </w:r>
      <w:r w:rsidR="007367B9">
        <w:rPr>
          <w:lang w:val="fr-CA"/>
        </w:rPr>
        <w:t xml:space="preserve">rapporté au PIB </w:t>
      </w:r>
      <w:r w:rsidR="00093C1F">
        <w:rPr>
          <w:lang w:val="fr-CA"/>
        </w:rPr>
        <w:t xml:space="preserve">est </w:t>
      </w:r>
      <w:r w:rsidR="00093C1F" w:rsidRPr="003D6840">
        <w:rPr>
          <w:lang w:val="fr-CA"/>
        </w:rPr>
        <w:t xml:space="preserve">resté </w:t>
      </w:r>
      <w:r w:rsidR="00464AF6">
        <w:rPr>
          <w:lang w:val="fr-CA"/>
        </w:rPr>
        <w:t xml:space="preserve">relativement </w:t>
      </w:r>
      <w:r w:rsidR="00093C1F" w:rsidRPr="003D6840">
        <w:rPr>
          <w:lang w:val="fr-CA"/>
        </w:rPr>
        <w:t>faible</w:t>
      </w:r>
      <w:r w:rsidR="00311AA6">
        <w:rPr>
          <w:lang w:val="fr-CA"/>
        </w:rPr>
        <w:t xml:space="preserve">, avec </w:t>
      </w:r>
      <w:r w:rsidR="00093C1F" w:rsidRPr="003D6840">
        <w:rPr>
          <w:lang w:val="fr-CA"/>
        </w:rPr>
        <w:t>en 2011</w:t>
      </w:r>
      <w:r w:rsidR="00311AA6">
        <w:rPr>
          <w:lang w:val="fr-CA"/>
        </w:rPr>
        <w:t xml:space="preserve"> des taux de </w:t>
      </w:r>
      <w:r w:rsidR="00093C1F" w:rsidRPr="003D6840">
        <w:rPr>
          <w:lang w:val="fr-CA"/>
        </w:rPr>
        <w:t xml:space="preserve">20% au Maroc, 15% en Algérie, </w:t>
      </w:r>
      <w:r w:rsidR="004212CA">
        <w:rPr>
          <w:lang w:val="fr-CA"/>
        </w:rPr>
        <w:t xml:space="preserve">et </w:t>
      </w:r>
      <w:r w:rsidR="00093C1F" w:rsidRPr="003D6840">
        <w:rPr>
          <w:lang w:val="fr-CA"/>
        </w:rPr>
        <w:t>13% en  Tunisie</w:t>
      </w:r>
      <w:r w:rsidR="00773C5E">
        <w:rPr>
          <w:lang w:val="fr-CA"/>
        </w:rPr>
        <w:t>.</w:t>
      </w:r>
    </w:p>
    <w:p w:rsidR="001A60D5" w:rsidRDefault="001A60D5" w:rsidP="001A60D5">
      <w:pPr>
        <w:ind w:left="-567"/>
        <w:jc w:val="both"/>
        <w:rPr>
          <w:lang w:val="fr-FR"/>
        </w:rPr>
      </w:pPr>
    </w:p>
    <w:p w:rsidR="008815DB" w:rsidRPr="008815DB" w:rsidRDefault="001A60D5" w:rsidP="00F245CA">
      <w:pPr>
        <w:jc w:val="both"/>
        <w:rPr>
          <w:color w:val="000000"/>
          <w:lang w:val="fr-FR"/>
        </w:rPr>
      </w:pPr>
      <w:r w:rsidRPr="001A60D5">
        <w:rPr>
          <w:lang w:val="fr-FR"/>
        </w:rPr>
        <w:t xml:space="preserve">En matière d’emploi, les marchés du travail </w:t>
      </w:r>
      <w:r w:rsidR="00A552CA">
        <w:rPr>
          <w:lang w:val="fr-FR"/>
        </w:rPr>
        <w:t xml:space="preserve">nord-africains </w:t>
      </w:r>
      <w:r w:rsidRPr="001A60D5">
        <w:rPr>
          <w:lang w:val="fr-FR"/>
        </w:rPr>
        <w:t xml:space="preserve"> sont caractérisés par un taux d’activité de la population peu élevé, en moyenne 46 à 51%, contre 71% dans l’Union Européenne, des déséquilibres quantitatifs et qualitatifs entre l’offre et la demande, un chômage et un sous emploi plus élevés chez les jeunes </w:t>
      </w:r>
      <w:r>
        <w:rPr>
          <w:lang w:val="fr-FR"/>
        </w:rPr>
        <w:t xml:space="preserve">(environ 27%) </w:t>
      </w:r>
      <w:r w:rsidRPr="001A60D5">
        <w:rPr>
          <w:lang w:val="fr-FR"/>
        </w:rPr>
        <w:t xml:space="preserve">et les femmes, une prédominance de l’emploi informel et une hausse régulière du taux de chômage chez les diplômés. </w:t>
      </w:r>
      <w:r>
        <w:rPr>
          <w:lang w:val="fr-FR"/>
        </w:rPr>
        <w:t>U</w:t>
      </w:r>
      <w:r w:rsidRPr="001A60D5">
        <w:rPr>
          <w:lang w:val="fr-FR"/>
        </w:rPr>
        <w:t xml:space="preserve">ne forte proportion </w:t>
      </w:r>
      <w:r w:rsidRPr="001A60D5">
        <w:rPr>
          <w:color w:val="000000"/>
          <w:lang w:val="fr-FR"/>
        </w:rPr>
        <w:t xml:space="preserve">des travailleurs se retrouve </w:t>
      </w:r>
      <w:r w:rsidR="00311AA6">
        <w:rPr>
          <w:color w:val="000000"/>
          <w:lang w:val="fr-FR"/>
        </w:rPr>
        <w:t xml:space="preserve">par ailleurs </w:t>
      </w:r>
      <w:r w:rsidRPr="001A60D5">
        <w:rPr>
          <w:color w:val="000000"/>
          <w:lang w:val="fr-FR"/>
        </w:rPr>
        <w:t xml:space="preserve">dans le secteur de l’emploi précaire, caractérisé </w:t>
      </w:r>
      <w:r w:rsidR="004212CA">
        <w:rPr>
          <w:color w:val="000000"/>
          <w:lang w:val="fr-FR"/>
        </w:rPr>
        <w:t>notamment</w:t>
      </w:r>
      <w:r w:rsidRPr="001A60D5">
        <w:rPr>
          <w:color w:val="000000"/>
          <w:lang w:val="fr-FR"/>
        </w:rPr>
        <w:t xml:space="preserve"> par la prédominance d’arrangements informels, de</w:t>
      </w:r>
      <w:r w:rsidR="00A63007">
        <w:rPr>
          <w:color w:val="000000"/>
          <w:lang w:val="fr-FR"/>
        </w:rPr>
        <w:t>s</w:t>
      </w:r>
      <w:r w:rsidRPr="001A60D5">
        <w:rPr>
          <w:color w:val="000000"/>
          <w:lang w:val="fr-FR"/>
        </w:rPr>
        <w:t xml:space="preserve"> revenus modestes et un faible niveau de protection sociale. </w:t>
      </w:r>
      <w:r w:rsidR="008815DB">
        <w:rPr>
          <w:color w:val="000000"/>
          <w:lang w:val="fr-FR"/>
        </w:rPr>
        <w:t xml:space="preserve">Pour les jeunes qui constituent le tiers </w:t>
      </w:r>
      <w:r w:rsidR="008815DB" w:rsidRPr="008815DB">
        <w:rPr>
          <w:color w:val="000000"/>
          <w:lang w:val="fr-FR"/>
        </w:rPr>
        <w:t>de la population totale de la sous-région</w:t>
      </w:r>
      <w:r w:rsidR="008815DB">
        <w:rPr>
          <w:color w:val="000000"/>
          <w:lang w:val="fr-FR"/>
        </w:rPr>
        <w:t xml:space="preserve">, la </w:t>
      </w:r>
      <w:r w:rsidR="008815DB" w:rsidRPr="008815DB">
        <w:rPr>
          <w:color w:val="000000"/>
          <w:lang w:val="fr-FR"/>
        </w:rPr>
        <w:t>difficulté de s’</w:t>
      </w:r>
      <w:r w:rsidR="008815DB">
        <w:rPr>
          <w:color w:val="000000"/>
          <w:lang w:val="fr-FR"/>
        </w:rPr>
        <w:t xml:space="preserve">insérer dans la vie active </w:t>
      </w:r>
      <w:r w:rsidR="008815DB" w:rsidRPr="008815DB">
        <w:rPr>
          <w:color w:val="000000"/>
          <w:lang w:val="fr-FR"/>
        </w:rPr>
        <w:t>par un emploi décent</w:t>
      </w:r>
      <w:r w:rsidR="008815DB">
        <w:rPr>
          <w:color w:val="000000"/>
          <w:lang w:val="fr-FR"/>
        </w:rPr>
        <w:t xml:space="preserve"> s</w:t>
      </w:r>
      <w:r w:rsidR="00311AA6">
        <w:rPr>
          <w:color w:val="000000"/>
          <w:lang w:val="fr-FR"/>
        </w:rPr>
        <w:t>’est jusque-là</w:t>
      </w:r>
      <w:r w:rsidR="008815DB">
        <w:rPr>
          <w:color w:val="000000"/>
          <w:lang w:val="fr-FR"/>
        </w:rPr>
        <w:t xml:space="preserve"> juxtapos</w:t>
      </w:r>
      <w:r w:rsidR="00311AA6">
        <w:rPr>
          <w:color w:val="000000"/>
          <w:lang w:val="fr-FR"/>
        </w:rPr>
        <w:t>é</w:t>
      </w:r>
      <w:r w:rsidR="008815DB">
        <w:rPr>
          <w:color w:val="000000"/>
          <w:lang w:val="fr-FR"/>
        </w:rPr>
        <w:t xml:space="preserve"> avec </w:t>
      </w:r>
      <w:r w:rsidR="008815DB" w:rsidRPr="008815DB">
        <w:rPr>
          <w:color w:val="000000"/>
          <w:lang w:val="fr-FR"/>
        </w:rPr>
        <w:t xml:space="preserve">un manque d’implication dans les processus décisionnels, y compris dans les domaines qui leur sont spécifiques. L’éducation à la citoyenneté – là où elle a été entamée- n’a pas été consolidée par un aménagement d’espaces de dialogue intergénérationnel, ni par une représentation </w:t>
      </w:r>
      <w:r w:rsidR="00A63007">
        <w:rPr>
          <w:color w:val="000000"/>
          <w:lang w:val="fr-FR"/>
        </w:rPr>
        <w:t xml:space="preserve">suffisante </w:t>
      </w:r>
      <w:r w:rsidR="008815DB" w:rsidRPr="008815DB">
        <w:rPr>
          <w:color w:val="000000"/>
          <w:lang w:val="fr-FR"/>
        </w:rPr>
        <w:t xml:space="preserve">des jeunes dans les instances de prise de décision, familiales, communautaires ou étatiques. </w:t>
      </w:r>
    </w:p>
    <w:p w:rsidR="008815DB" w:rsidRDefault="008815DB" w:rsidP="00F245CA">
      <w:pPr>
        <w:jc w:val="both"/>
        <w:rPr>
          <w:lang w:val="fr-FR"/>
        </w:rPr>
      </w:pPr>
    </w:p>
    <w:p w:rsidR="00DD1BC5" w:rsidRDefault="00311AA6" w:rsidP="00F245CA">
      <w:pPr>
        <w:jc w:val="both"/>
        <w:rPr>
          <w:color w:val="000000"/>
          <w:lang w:val="fr-FR"/>
        </w:rPr>
      </w:pPr>
      <w:r>
        <w:rPr>
          <w:lang w:val="fr-FR"/>
        </w:rPr>
        <w:t xml:space="preserve">Autre défi commun à tous les pays d’Afrique du Nord, la sécurité alimentaire. </w:t>
      </w:r>
      <w:r w:rsidR="007A0F28">
        <w:rPr>
          <w:lang w:val="fr-FR"/>
        </w:rPr>
        <w:t xml:space="preserve">Avec 30% de la population active totale et plus de 75% des emplois en milieu rural, le secteur agricole </w:t>
      </w:r>
      <w:r w:rsidR="007A0F28" w:rsidRPr="007A0F28">
        <w:rPr>
          <w:rFonts w:cs="Arial"/>
          <w:lang w:val="fr-FR"/>
        </w:rPr>
        <w:t>constitue l’un des piliers des économies de l</w:t>
      </w:r>
      <w:r w:rsidR="00464AF6">
        <w:rPr>
          <w:rFonts w:cs="Arial"/>
          <w:lang w:val="fr-FR"/>
        </w:rPr>
        <w:t>a sous-région</w:t>
      </w:r>
      <w:r w:rsidR="007A0F28" w:rsidRPr="007A0F28">
        <w:rPr>
          <w:rFonts w:cs="Arial"/>
          <w:lang w:val="fr-FR"/>
        </w:rPr>
        <w:t xml:space="preserve"> et revêt une dimension sociale </w:t>
      </w:r>
      <w:r w:rsidR="00773C5E">
        <w:rPr>
          <w:rFonts w:cs="Arial"/>
          <w:lang w:val="fr-FR"/>
        </w:rPr>
        <w:t xml:space="preserve">particulière. </w:t>
      </w:r>
      <w:r w:rsidR="00464AF6">
        <w:rPr>
          <w:rFonts w:cs="Arial"/>
          <w:lang w:val="fr-FR"/>
        </w:rPr>
        <w:t>Cependant</w:t>
      </w:r>
      <w:r w:rsidR="007A0F28" w:rsidRPr="007A0F28">
        <w:rPr>
          <w:lang w:val="fr-FR"/>
        </w:rPr>
        <w:t xml:space="preserve">, et en dépit de l’importance des investissements réalisés pour développer l’irrigation, l’agriculture est restée essentiellement pluviale et peu compétitive. Les modèles agricoles </w:t>
      </w:r>
      <w:r w:rsidR="007A0F28">
        <w:rPr>
          <w:lang w:val="fr-FR"/>
        </w:rPr>
        <w:t xml:space="preserve">utilisés </w:t>
      </w:r>
      <w:r w:rsidR="007A0F28" w:rsidRPr="007A0F28">
        <w:rPr>
          <w:lang w:val="fr-FR"/>
        </w:rPr>
        <w:t xml:space="preserve">n’ont pas </w:t>
      </w:r>
      <w:r w:rsidR="007A0F28">
        <w:rPr>
          <w:lang w:val="fr-FR"/>
        </w:rPr>
        <w:t xml:space="preserve">suffisamment </w:t>
      </w:r>
      <w:r w:rsidR="007A0F28" w:rsidRPr="007A0F28">
        <w:rPr>
          <w:lang w:val="fr-FR"/>
        </w:rPr>
        <w:t xml:space="preserve">tenu compte des contraintes écologiques et ont </w:t>
      </w:r>
      <w:r w:rsidR="00FE6017">
        <w:rPr>
          <w:lang w:val="fr-FR"/>
        </w:rPr>
        <w:t>contribué</w:t>
      </w:r>
      <w:r w:rsidR="0032463F">
        <w:rPr>
          <w:lang w:val="fr-FR"/>
        </w:rPr>
        <w:t xml:space="preserve"> </w:t>
      </w:r>
      <w:r w:rsidR="00FE6017">
        <w:rPr>
          <w:lang w:val="fr-FR"/>
        </w:rPr>
        <w:t>au</w:t>
      </w:r>
      <w:r w:rsidR="007A0F28" w:rsidRPr="007A0F28">
        <w:rPr>
          <w:lang w:val="fr-FR"/>
        </w:rPr>
        <w:t xml:space="preserve"> déclin du potentiel productif des écosystèmes cultivés, avec des rendements </w:t>
      </w:r>
      <w:r w:rsidR="007A0F28">
        <w:rPr>
          <w:lang w:val="fr-FR"/>
        </w:rPr>
        <w:t xml:space="preserve">faibles, globalement équivalant </w:t>
      </w:r>
      <w:r w:rsidR="007A0F28" w:rsidRPr="007A0F28">
        <w:rPr>
          <w:lang w:val="fr-FR"/>
        </w:rPr>
        <w:t xml:space="preserve">à la moitié de la moyenne </w:t>
      </w:r>
      <w:r w:rsidR="007A0F28">
        <w:rPr>
          <w:lang w:val="fr-FR"/>
        </w:rPr>
        <w:t xml:space="preserve">mondiale. </w:t>
      </w:r>
      <w:r w:rsidR="007A0F28" w:rsidRPr="007A0F28">
        <w:rPr>
          <w:color w:val="000000"/>
          <w:lang w:val="fr-FR"/>
        </w:rPr>
        <w:t xml:space="preserve">La région connaît ainsi un déficit céréalier structurel et son approvisionnement en produits alimentaires de base repose très fortement sur les marchés internationaux. L’Afrique du Nord </w:t>
      </w:r>
      <w:r w:rsidR="004212CA">
        <w:rPr>
          <w:color w:val="000000"/>
          <w:lang w:val="fr-FR"/>
        </w:rPr>
        <w:t xml:space="preserve">dans son ensemble </w:t>
      </w:r>
      <w:r w:rsidR="007A0F28" w:rsidRPr="007A0F28">
        <w:rPr>
          <w:color w:val="000000"/>
          <w:lang w:val="fr-FR"/>
        </w:rPr>
        <w:t xml:space="preserve">concentre à elle seule </w:t>
      </w:r>
      <w:r w:rsidR="00472F8D">
        <w:rPr>
          <w:color w:val="000000"/>
          <w:lang w:val="fr-FR"/>
        </w:rPr>
        <w:t xml:space="preserve">environ </w:t>
      </w:r>
      <w:r w:rsidR="007A0F28" w:rsidRPr="007A0F28">
        <w:rPr>
          <w:color w:val="000000"/>
          <w:lang w:val="fr-FR"/>
        </w:rPr>
        <w:t xml:space="preserve">17% des importations mondiales de blé et 10 à 12% de celles du maïs. </w:t>
      </w:r>
    </w:p>
    <w:p w:rsidR="00DD1BC5" w:rsidRDefault="00DD1BC5" w:rsidP="00F245CA">
      <w:pPr>
        <w:jc w:val="both"/>
        <w:rPr>
          <w:color w:val="000000"/>
          <w:lang w:val="fr-FR"/>
        </w:rPr>
      </w:pPr>
    </w:p>
    <w:p w:rsidR="00EA4074" w:rsidRDefault="007A0F28" w:rsidP="00F245CA">
      <w:pPr>
        <w:jc w:val="both"/>
        <w:rPr>
          <w:color w:val="000000"/>
          <w:lang w:val="fr-FR"/>
        </w:rPr>
      </w:pPr>
      <w:r w:rsidRPr="007A0F28">
        <w:rPr>
          <w:lang w:val="fr-FR"/>
        </w:rPr>
        <w:lastRenderedPageBreak/>
        <w:t>L</w:t>
      </w:r>
      <w:r w:rsidR="00464AF6">
        <w:rPr>
          <w:lang w:val="fr-FR"/>
        </w:rPr>
        <w:t xml:space="preserve">es pays de l’espace UMA </w:t>
      </w:r>
      <w:r>
        <w:rPr>
          <w:lang w:val="fr-FR"/>
        </w:rPr>
        <w:t>constitue</w:t>
      </w:r>
      <w:r w:rsidR="00296186">
        <w:rPr>
          <w:lang w:val="fr-FR"/>
        </w:rPr>
        <w:t>nt</w:t>
      </w:r>
      <w:r>
        <w:rPr>
          <w:lang w:val="fr-FR"/>
        </w:rPr>
        <w:t xml:space="preserve"> par ailleurs </w:t>
      </w:r>
      <w:r w:rsidRPr="007A0F28">
        <w:rPr>
          <w:lang w:val="fr-FR"/>
        </w:rPr>
        <w:t xml:space="preserve">une zone à dominance aride et semi aride, sujette à des périodes de sécheresses récurrentes et à une grande variabilité spatiale et interannuelle des précipitations. </w:t>
      </w:r>
      <w:r>
        <w:rPr>
          <w:lang w:val="fr-FR"/>
        </w:rPr>
        <w:t xml:space="preserve">Selon le Groupe International d’Experts sur le Climat (GIEC), </w:t>
      </w:r>
      <w:r w:rsidR="00464AF6">
        <w:rPr>
          <w:lang w:val="fr-FR"/>
        </w:rPr>
        <w:t>l</w:t>
      </w:r>
      <w:r w:rsidR="00311AA6">
        <w:rPr>
          <w:lang w:val="fr-FR"/>
        </w:rPr>
        <w:t>’</w:t>
      </w:r>
      <w:r w:rsidR="00464AF6">
        <w:rPr>
          <w:lang w:val="fr-FR"/>
        </w:rPr>
        <w:t xml:space="preserve">Afrique du Nord </w:t>
      </w:r>
      <w:r w:rsidRPr="007A0F28">
        <w:rPr>
          <w:lang w:val="fr-FR"/>
        </w:rPr>
        <w:t xml:space="preserve">figure aujourd’hui parmi les zones les plus vulnérables au changement climatique. </w:t>
      </w:r>
      <w:r w:rsidR="00DD1BC5" w:rsidRPr="007A0F28">
        <w:rPr>
          <w:lang w:val="fr-FR"/>
        </w:rPr>
        <w:t xml:space="preserve">La désertification </w:t>
      </w:r>
      <w:r w:rsidR="00DD1BC5">
        <w:rPr>
          <w:lang w:val="fr-FR"/>
        </w:rPr>
        <w:t xml:space="preserve">y </w:t>
      </w:r>
      <w:r w:rsidR="00DD1BC5" w:rsidRPr="007A0F28">
        <w:rPr>
          <w:lang w:val="fr-FR"/>
        </w:rPr>
        <w:t>affecte environ 85% des terres qui sont de plus en plus menacées par l’érosion, la salinisation et les pratiques culturales non durables</w:t>
      </w:r>
      <w:r w:rsidR="00DD1BC5">
        <w:rPr>
          <w:lang w:val="fr-FR"/>
        </w:rPr>
        <w:t xml:space="preserve">. </w:t>
      </w:r>
      <w:r w:rsidRPr="007A0F28">
        <w:rPr>
          <w:lang w:val="fr-FR"/>
        </w:rPr>
        <w:t xml:space="preserve">Les Modèles de Circulation Générale (MCG) indiquent un réchauffement probable de la </w:t>
      </w:r>
      <w:r w:rsidR="00DD1BC5">
        <w:rPr>
          <w:lang w:val="fr-FR"/>
        </w:rPr>
        <w:t xml:space="preserve">sous-région </w:t>
      </w:r>
      <w:r w:rsidRPr="007A0F28">
        <w:rPr>
          <w:lang w:val="fr-FR"/>
        </w:rPr>
        <w:t>de l’ordre de 2°C à 4°C durant le 21ème siècle, avec en particulier plus de 1°C de réchauffement entre 2000 et 2020</w:t>
      </w:r>
      <w:r w:rsidRPr="008A33DE">
        <w:rPr>
          <w:rStyle w:val="Appelnotedebasdep"/>
        </w:rPr>
        <w:footnoteReference w:id="1"/>
      </w:r>
      <w:r w:rsidRPr="007A0F28">
        <w:rPr>
          <w:lang w:val="fr-FR"/>
        </w:rPr>
        <w:t xml:space="preserve">. </w:t>
      </w:r>
      <w:r w:rsidRPr="007A0F28">
        <w:rPr>
          <w:rFonts w:cs="AJensonPro-Regular"/>
          <w:lang w:val="fr-FR"/>
        </w:rPr>
        <w:t xml:space="preserve">Les </w:t>
      </w:r>
      <w:r w:rsidRPr="007A0F28">
        <w:rPr>
          <w:lang w:val="fr-FR"/>
        </w:rPr>
        <w:t>évènements climatiques extrêmes (sécheresses, vagues de chaleur, inondations</w:t>
      </w:r>
      <w:r w:rsidRPr="007A0F28">
        <w:rPr>
          <w:rFonts w:cs="AJensonPro-Regular"/>
          <w:lang w:val="fr-FR"/>
        </w:rPr>
        <w:t>) deviendront plus fréquents avec l’accélération des cycles climatiques</w:t>
      </w:r>
      <w:r w:rsidRPr="007A0F28">
        <w:rPr>
          <w:lang w:val="fr-FR"/>
        </w:rPr>
        <w:t xml:space="preserve"> et une diminution générale des précipitations moyennes</w:t>
      </w:r>
      <w:r w:rsidR="00DD1BC5">
        <w:rPr>
          <w:lang w:val="fr-FR"/>
        </w:rPr>
        <w:t xml:space="preserve">, dont les </w:t>
      </w:r>
      <w:r w:rsidRPr="007A0F28">
        <w:rPr>
          <w:lang w:val="fr-FR"/>
        </w:rPr>
        <w:t xml:space="preserve">effets </w:t>
      </w:r>
      <w:r w:rsidR="00472F8D">
        <w:rPr>
          <w:lang w:val="fr-FR"/>
        </w:rPr>
        <w:t xml:space="preserve">premiers seraient la </w:t>
      </w:r>
      <w:r w:rsidR="00DD1BC5">
        <w:rPr>
          <w:lang w:val="fr-FR"/>
        </w:rPr>
        <w:t>d</w:t>
      </w:r>
      <w:r w:rsidRPr="007A0F28">
        <w:rPr>
          <w:lang w:val="fr-FR"/>
        </w:rPr>
        <w:t>iminution de la production</w:t>
      </w:r>
      <w:r w:rsidR="00D37ECF">
        <w:rPr>
          <w:lang w:val="fr-FR"/>
        </w:rPr>
        <w:t xml:space="preserve"> agricole</w:t>
      </w:r>
      <w:r w:rsidR="0032463F">
        <w:rPr>
          <w:lang w:val="fr-FR"/>
        </w:rPr>
        <w:t xml:space="preserve"> </w:t>
      </w:r>
      <w:r w:rsidR="00472F8D">
        <w:rPr>
          <w:lang w:val="fr-FR"/>
        </w:rPr>
        <w:t xml:space="preserve">et l’accroissement des </w:t>
      </w:r>
      <w:r w:rsidRPr="007A0F28">
        <w:rPr>
          <w:lang w:val="fr-FR"/>
        </w:rPr>
        <w:t>migrations écologiques.</w:t>
      </w:r>
    </w:p>
    <w:p w:rsidR="00EA4074" w:rsidRDefault="00EA4074" w:rsidP="00F245CA">
      <w:pPr>
        <w:jc w:val="both"/>
        <w:rPr>
          <w:color w:val="000000"/>
          <w:lang w:val="fr-FR"/>
        </w:rPr>
      </w:pPr>
    </w:p>
    <w:p w:rsidR="00344EA4" w:rsidRDefault="007A0F28" w:rsidP="00F245CA">
      <w:pPr>
        <w:jc w:val="both"/>
        <w:rPr>
          <w:rStyle w:val="apple-converted-space"/>
          <w:lang w:val="fr-FR"/>
        </w:rPr>
      </w:pPr>
      <w:r>
        <w:rPr>
          <w:color w:val="000000"/>
          <w:lang w:val="fr-FR"/>
        </w:rPr>
        <w:t xml:space="preserve">Au plan énergétique, </w:t>
      </w:r>
      <w:r w:rsidR="00EA4074">
        <w:rPr>
          <w:color w:val="000000"/>
          <w:lang w:val="fr-FR"/>
        </w:rPr>
        <w:t>l</w:t>
      </w:r>
      <w:r w:rsidR="00EA4074" w:rsidRPr="00EA4074">
        <w:rPr>
          <w:lang w:val="fr-FR"/>
        </w:rPr>
        <w:t>es pays d’Afrique du Nord font face</w:t>
      </w:r>
      <w:r w:rsidR="00EA4074">
        <w:rPr>
          <w:lang w:val="fr-FR"/>
        </w:rPr>
        <w:t>,</w:t>
      </w:r>
      <w:r w:rsidR="00EA4074" w:rsidRPr="00EA4074">
        <w:rPr>
          <w:lang w:val="fr-FR"/>
        </w:rPr>
        <w:t xml:space="preserve"> à des </w:t>
      </w:r>
      <w:r w:rsidR="00EA4074">
        <w:rPr>
          <w:lang w:val="fr-FR"/>
        </w:rPr>
        <w:t xml:space="preserve">degrés divers, </w:t>
      </w:r>
      <w:r w:rsidR="00EA4074" w:rsidRPr="00EA4074">
        <w:rPr>
          <w:lang w:val="fr-FR"/>
        </w:rPr>
        <w:t xml:space="preserve">à une </w:t>
      </w:r>
      <w:r w:rsidR="00EA4074">
        <w:rPr>
          <w:lang w:val="fr-FR"/>
        </w:rPr>
        <w:t xml:space="preserve">demande </w:t>
      </w:r>
      <w:r w:rsidR="00EA4074" w:rsidRPr="00EA4074">
        <w:rPr>
          <w:lang w:val="fr-FR"/>
        </w:rPr>
        <w:t>croissan</w:t>
      </w:r>
      <w:r w:rsidR="00EA4074">
        <w:rPr>
          <w:lang w:val="fr-FR"/>
        </w:rPr>
        <w:t>te</w:t>
      </w:r>
      <w:r w:rsidR="00EA4074" w:rsidRPr="00EA4074">
        <w:rPr>
          <w:lang w:val="fr-FR"/>
        </w:rPr>
        <w:t xml:space="preserve">, </w:t>
      </w:r>
      <w:r w:rsidR="00EA4074">
        <w:rPr>
          <w:lang w:val="fr-FR"/>
        </w:rPr>
        <w:t xml:space="preserve">pour l’instant couverte principalement </w:t>
      </w:r>
      <w:r w:rsidR="00EA4074" w:rsidRPr="00EA4074">
        <w:rPr>
          <w:lang w:val="fr-FR"/>
        </w:rPr>
        <w:t>par l’énergie fossile subventionnée</w:t>
      </w:r>
      <w:r w:rsidR="00EA4074">
        <w:rPr>
          <w:lang w:val="fr-FR"/>
        </w:rPr>
        <w:t xml:space="preserve">, et pour </w:t>
      </w:r>
      <w:r w:rsidR="00472F8D">
        <w:rPr>
          <w:lang w:val="fr-FR"/>
        </w:rPr>
        <w:t xml:space="preserve">la plupart </w:t>
      </w:r>
      <w:r w:rsidR="00EA4074">
        <w:rPr>
          <w:lang w:val="fr-FR"/>
        </w:rPr>
        <w:t>importée</w:t>
      </w:r>
      <w:r w:rsidR="00EA4074" w:rsidRPr="00EA4074">
        <w:rPr>
          <w:lang w:val="fr-FR"/>
        </w:rPr>
        <w:t xml:space="preserve">. Tous les pays disposent d’un potentiel en </w:t>
      </w:r>
      <w:r w:rsidR="00EA4074">
        <w:rPr>
          <w:lang w:val="fr-FR"/>
        </w:rPr>
        <w:t xml:space="preserve">énergies renouvelables (solaire et éolien) </w:t>
      </w:r>
      <w:r w:rsidR="00EA4074" w:rsidRPr="00EA4074">
        <w:rPr>
          <w:lang w:val="fr-FR"/>
        </w:rPr>
        <w:t>suffisant pou</w:t>
      </w:r>
      <w:r w:rsidR="00854D6A">
        <w:rPr>
          <w:lang w:val="fr-FR"/>
        </w:rPr>
        <w:t>r</w:t>
      </w:r>
      <w:r w:rsidR="0032463F">
        <w:rPr>
          <w:lang w:val="fr-FR"/>
        </w:rPr>
        <w:t xml:space="preserve"> </w:t>
      </w:r>
      <w:r w:rsidR="00EA4074" w:rsidRPr="00EA4074">
        <w:rPr>
          <w:lang w:val="fr-FR"/>
        </w:rPr>
        <w:t>couvrir la quasi-totalité des besoins de la demande</w:t>
      </w:r>
      <w:r w:rsidR="00EA4074">
        <w:rPr>
          <w:lang w:val="fr-FR"/>
        </w:rPr>
        <w:t xml:space="preserve">, mais ne représentant </w:t>
      </w:r>
      <w:r w:rsidR="00472F8D">
        <w:rPr>
          <w:lang w:val="fr-FR"/>
        </w:rPr>
        <w:t xml:space="preserve">pour l’instant </w:t>
      </w:r>
      <w:r w:rsidR="00EA4074">
        <w:rPr>
          <w:lang w:val="fr-FR"/>
        </w:rPr>
        <w:t>qu</w:t>
      </w:r>
      <w:r w:rsidR="00472F8D">
        <w:rPr>
          <w:lang w:val="fr-FR"/>
        </w:rPr>
        <w:t xml:space="preserve">’environ </w:t>
      </w:r>
      <w:r w:rsidR="00EA4074">
        <w:rPr>
          <w:lang w:val="fr-FR"/>
        </w:rPr>
        <w:t>3% des capacités actuelles de génération d’électricité.</w:t>
      </w:r>
      <w:r w:rsidR="00EA4074" w:rsidRPr="00EA4074">
        <w:rPr>
          <w:lang w:val="fr-FR"/>
        </w:rPr>
        <w:t xml:space="preserve"> De nombreux obstacles subsistent</w:t>
      </w:r>
      <w:r w:rsidR="0032463F">
        <w:rPr>
          <w:lang w:val="fr-FR"/>
        </w:rPr>
        <w:t xml:space="preserve"> </w:t>
      </w:r>
      <w:r w:rsidR="00EA4074" w:rsidRPr="00EA4074">
        <w:rPr>
          <w:lang w:val="fr-FR"/>
        </w:rPr>
        <w:t>en effet,</w:t>
      </w:r>
      <w:r w:rsidR="0032463F">
        <w:rPr>
          <w:lang w:val="fr-FR"/>
        </w:rPr>
        <w:t xml:space="preserve"> </w:t>
      </w:r>
      <w:r w:rsidR="00EA4074" w:rsidRPr="00EA4074">
        <w:rPr>
          <w:lang w:val="fr-FR"/>
        </w:rPr>
        <w:t>en termes de financement, pour réaliser les investissements  requis en matière de formation, de recherche-développement et d’intégration</w:t>
      </w:r>
      <w:r w:rsidR="00464AF6">
        <w:rPr>
          <w:lang w:val="fr-FR"/>
        </w:rPr>
        <w:t xml:space="preserve"> industrielle.</w:t>
      </w:r>
      <w:r w:rsidR="00EA4074" w:rsidRPr="00EA4074">
        <w:rPr>
          <w:lang w:val="fr-FR"/>
        </w:rPr>
        <w:t xml:space="preserve"> L</w:t>
      </w:r>
      <w:r w:rsidR="00EA4074" w:rsidRPr="00EA4074">
        <w:rPr>
          <w:rStyle w:val="apple-converted-space"/>
          <w:lang w:val="fr-FR"/>
        </w:rPr>
        <w:t xml:space="preserve">’espace nord africain ne constitue pas encore un marché homogène, la production et la circulation des produits énergétiques, la mise en place des infrastructures énergétiques et la fabrication de biens d’équipement n’obéissant pas à des critères de rentabilité économique à échelle régionale. </w:t>
      </w:r>
    </w:p>
    <w:p w:rsidR="00344EA4" w:rsidRDefault="00344EA4" w:rsidP="00F245CA">
      <w:pPr>
        <w:jc w:val="both"/>
        <w:rPr>
          <w:rStyle w:val="apple-converted-space"/>
          <w:lang w:val="fr-FR"/>
        </w:rPr>
      </w:pPr>
    </w:p>
    <w:p w:rsidR="00344EA4" w:rsidRDefault="002A6680" w:rsidP="00F245CA">
      <w:pPr>
        <w:jc w:val="both"/>
        <w:rPr>
          <w:lang w:val="fr-FR"/>
        </w:rPr>
      </w:pPr>
      <w:r w:rsidRPr="002A6680">
        <w:rPr>
          <w:lang w:val="fr-FR"/>
        </w:rPr>
        <w:t>Pour relever ces défis</w:t>
      </w:r>
      <w:r w:rsidR="008E139F">
        <w:rPr>
          <w:lang w:val="fr-FR"/>
        </w:rPr>
        <w:t xml:space="preserve">- </w:t>
      </w:r>
      <w:r w:rsidR="00D72ACD">
        <w:rPr>
          <w:lang w:val="fr-FR"/>
        </w:rPr>
        <w:t>du reste non exhaustifs</w:t>
      </w:r>
      <w:r w:rsidR="00344EA4">
        <w:rPr>
          <w:lang w:val="fr-FR"/>
        </w:rPr>
        <w:t>,</w:t>
      </w:r>
      <w:r w:rsidR="0032463F">
        <w:rPr>
          <w:lang w:val="fr-FR"/>
        </w:rPr>
        <w:t xml:space="preserve"> </w:t>
      </w:r>
      <w:r w:rsidR="00344EA4">
        <w:rPr>
          <w:lang w:val="fr-FR"/>
        </w:rPr>
        <w:t xml:space="preserve">renforcer leurs capacités de résilience aux crises </w:t>
      </w:r>
      <w:r w:rsidR="00D37ECF">
        <w:rPr>
          <w:lang w:val="fr-FR"/>
        </w:rPr>
        <w:t>et chocs exogènes</w:t>
      </w:r>
      <w:r w:rsidR="00344EA4">
        <w:rPr>
          <w:lang w:val="fr-FR"/>
        </w:rPr>
        <w:t xml:space="preserve">, et gagner le pari </w:t>
      </w:r>
      <w:r w:rsidR="00344EA4" w:rsidRPr="00344EA4">
        <w:rPr>
          <w:rFonts w:eastAsia="Calibri"/>
          <w:color w:val="000000"/>
          <w:lang w:val="fr-FR"/>
        </w:rPr>
        <w:t>d’un passage au rang d’économies émergentes</w:t>
      </w:r>
      <w:r w:rsidR="00344EA4">
        <w:rPr>
          <w:rFonts w:eastAsia="Calibri"/>
          <w:color w:val="000000"/>
          <w:lang w:val="fr-FR"/>
        </w:rPr>
        <w:t xml:space="preserve">, les pays de la sous-région devront agir dans deux axes stratégiques complémentaires : </w:t>
      </w:r>
      <w:r w:rsidR="00FE6017">
        <w:rPr>
          <w:rFonts w:eastAsia="Calibri"/>
          <w:color w:val="000000"/>
          <w:lang w:val="fr-FR"/>
        </w:rPr>
        <w:t xml:space="preserve">(i) </w:t>
      </w:r>
      <w:r w:rsidR="00D72ACD">
        <w:rPr>
          <w:rFonts w:eastAsia="Calibri"/>
          <w:color w:val="000000"/>
          <w:lang w:val="fr-FR"/>
        </w:rPr>
        <w:t xml:space="preserve">mettre en œuvre </w:t>
      </w:r>
      <w:r w:rsidR="00344EA4">
        <w:rPr>
          <w:rFonts w:eastAsia="Calibri"/>
          <w:color w:val="000000"/>
          <w:lang w:val="fr-FR"/>
        </w:rPr>
        <w:t xml:space="preserve">au niveau national des </w:t>
      </w:r>
      <w:r w:rsidR="00344EA4" w:rsidRPr="00344EA4">
        <w:rPr>
          <w:rFonts w:eastAsia="Calibri"/>
          <w:color w:val="000000"/>
          <w:lang w:val="fr-FR"/>
        </w:rPr>
        <w:t>politiques d</w:t>
      </w:r>
      <w:r w:rsidR="00D37ECF">
        <w:rPr>
          <w:rFonts w:eastAsia="Calibri"/>
          <w:color w:val="000000"/>
          <w:lang w:val="fr-FR"/>
        </w:rPr>
        <w:t xml:space="preserve">’accélération </w:t>
      </w:r>
      <w:r w:rsidR="00344EA4" w:rsidRPr="00344EA4">
        <w:rPr>
          <w:rFonts w:eastAsia="Calibri"/>
          <w:color w:val="000000"/>
          <w:lang w:val="fr-FR"/>
        </w:rPr>
        <w:t xml:space="preserve">du processus de diversification </w:t>
      </w:r>
      <w:r w:rsidR="00344EA4" w:rsidRPr="00344EA4">
        <w:rPr>
          <w:rFonts w:eastAsia="Calibri"/>
          <w:color w:val="000000"/>
          <w:lang w:val="fr-FR" w:eastAsia="fr-FR"/>
        </w:rPr>
        <w:t xml:space="preserve">et d’amélioration de la </w:t>
      </w:r>
      <w:r w:rsidR="00344EA4">
        <w:rPr>
          <w:rFonts w:eastAsia="Calibri"/>
          <w:color w:val="000000"/>
          <w:lang w:val="fr-FR" w:eastAsia="fr-FR"/>
        </w:rPr>
        <w:t>compétitivité de leurs économies</w:t>
      </w:r>
      <w:r w:rsidR="00D37ECF">
        <w:rPr>
          <w:rFonts w:eastAsia="Calibri"/>
          <w:color w:val="000000"/>
          <w:lang w:val="fr-FR" w:eastAsia="fr-FR"/>
        </w:rPr>
        <w:t>,</w:t>
      </w:r>
      <w:r w:rsidR="00344EA4">
        <w:rPr>
          <w:rFonts w:eastAsia="Calibri"/>
          <w:color w:val="000000"/>
          <w:lang w:val="fr-FR" w:eastAsia="fr-FR"/>
        </w:rPr>
        <w:t> </w:t>
      </w:r>
      <w:r w:rsidR="008B177F">
        <w:rPr>
          <w:rFonts w:eastAsia="Calibri"/>
          <w:color w:val="000000"/>
          <w:lang w:val="fr-FR" w:eastAsia="fr-FR"/>
        </w:rPr>
        <w:t xml:space="preserve">tout en </w:t>
      </w:r>
      <w:r w:rsidR="00D72ACD">
        <w:rPr>
          <w:rFonts w:eastAsia="Calibri"/>
          <w:color w:val="000000"/>
          <w:lang w:val="fr-FR" w:eastAsia="fr-FR"/>
        </w:rPr>
        <w:t xml:space="preserve">intégrant les </w:t>
      </w:r>
      <w:r w:rsidR="008B177F">
        <w:rPr>
          <w:rFonts w:eastAsia="Calibri"/>
          <w:color w:val="000000"/>
          <w:lang w:val="fr-FR" w:eastAsia="fr-FR"/>
        </w:rPr>
        <w:t xml:space="preserve">enjeux </w:t>
      </w:r>
      <w:r w:rsidR="00D72ACD">
        <w:rPr>
          <w:rFonts w:eastAsia="Calibri"/>
          <w:color w:val="000000"/>
          <w:lang w:val="fr-FR" w:eastAsia="fr-FR"/>
        </w:rPr>
        <w:t xml:space="preserve">du </w:t>
      </w:r>
      <w:r w:rsidR="00EB5457">
        <w:rPr>
          <w:rFonts w:eastAsia="Calibri"/>
          <w:color w:val="000000"/>
          <w:lang w:val="fr-FR" w:eastAsia="fr-FR"/>
        </w:rPr>
        <w:t>développement durable</w:t>
      </w:r>
      <w:r w:rsidR="00344EA4">
        <w:rPr>
          <w:rFonts w:eastAsia="Calibri"/>
          <w:color w:val="000000"/>
          <w:lang w:val="fr-FR" w:eastAsia="fr-FR"/>
        </w:rPr>
        <w:t xml:space="preserve">; et </w:t>
      </w:r>
      <w:r w:rsidR="00FE6017">
        <w:rPr>
          <w:rFonts w:eastAsia="Calibri"/>
          <w:color w:val="000000"/>
          <w:lang w:val="fr-FR" w:eastAsia="fr-FR"/>
        </w:rPr>
        <w:t xml:space="preserve">(ii) </w:t>
      </w:r>
      <w:r w:rsidR="00344EA4">
        <w:rPr>
          <w:rFonts w:eastAsia="Calibri"/>
          <w:color w:val="000000"/>
          <w:lang w:val="fr-FR" w:eastAsia="fr-FR"/>
        </w:rPr>
        <w:t xml:space="preserve">s’investir davantage dans </w:t>
      </w:r>
      <w:r w:rsidRPr="002A6680">
        <w:rPr>
          <w:lang w:val="fr-FR"/>
        </w:rPr>
        <w:t xml:space="preserve">une véritable </w:t>
      </w:r>
      <w:r w:rsidR="00D72ACD">
        <w:rPr>
          <w:lang w:val="fr-FR"/>
        </w:rPr>
        <w:t>dynamique</w:t>
      </w:r>
      <w:r w:rsidR="0032463F">
        <w:rPr>
          <w:lang w:val="fr-FR"/>
        </w:rPr>
        <w:t xml:space="preserve"> </w:t>
      </w:r>
      <w:r w:rsidR="00464AF6">
        <w:rPr>
          <w:lang w:val="fr-FR"/>
        </w:rPr>
        <w:t xml:space="preserve">d’intégration </w:t>
      </w:r>
      <w:r w:rsidRPr="002A6680">
        <w:rPr>
          <w:lang w:val="fr-FR"/>
        </w:rPr>
        <w:t xml:space="preserve">régionale </w:t>
      </w:r>
      <w:r w:rsidR="00ED4857">
        <w:rPr>
          <w:lang w:val="fr-FR"/>
        </w:rPr>
        <w:t xml:space="preserve">pour </w:t>
      </w:r>
      <w:r w:rsidRPr="002A6680">
        <w:rPr>
          <w:lang w:val="fr-FR"/>
        </w:rPr>
        <w:t>tire</w:t>
      </w:r>
      <w:r w:rsidR="00ED4857">
        <w:rPr>
          <w:lang w:val="fr-FR"/>
        </w:rPr>
        <w:t>r</w:t>
      </w:r>
      <w:r w:rsidR="0032463F">
        <w:rPr>
          <w:lang w:val="fr-FR"/>
        </w:rPr>
        <w:t xml:space="preserve"> </w:t>
      </w:r>
      <w:r w:rsidR="00D72ACD">
        <w:rPr>
          <w:lang w:val="fr-FR"/>
        </w:rPr>
        <w:t xml:space="preserve">profit </w:t>
      </w:r>
      <w:r w:rsidRPr="002A6680">
        <w:rPr>
          <w:lang w:val="fr-FR"/>
        </w:rPr>
        <w:t xml:space="preserve">des opportunités </w:t>
      </w:r>
      <w:r w:rsidR="00ED4857">
        <w:rPr>
          <w:lang w:val="fr-FR"/>
        </w:rPr>
        <w:t xml:space="preserve">d’un marché élargi </w:t>
      </w:r>
      <w:r w:rsidRPr="002A6680">
        <w:rPr>
          <w:lang w:val="fr-FR"/>
        </w:rPr>
        <w:t>et de</w:t>
      </w:r>
      <w:r w:rsidR="00ED4857">
        <w:rPr>
          <w:lang w:val="fr-FR"/>
        </w:rPr>
        <w:t xml:space="preserve"> politiques sectorielles harmonisées</w:t>
      </w:r>
      <w:r w:rsidR="00472F8D">
        <w:rPr>
          <w:lang w:val="fr-FR"/>
        </w:rPr>
        <w:t xml:space="preserve">. </w:t>
      </w:r>
    </w:p>
    <w:p w:rsidR="00296186" w:rsidRDefault="00296186" w:rsidP="00F245CA">
      <w:pPr>
        <w:jc w:val="both"/>
        <w:rPr>
          <w:rStyle w:val="Accentuation"/>
          <w:i w:val="0"/>
          <w:lang w:val="fr-FR"/>
        </w:rPr>
      </w:pPr>
    </w:p>
    <w:p w:rsidR="00E77D94" w:rsidRDefault="00296186" w:rsidP="00E77D94">
      <w:pPr>
        <w:jc w:val="both"/>
        <w:rPr>
          <w:rStyle w:val="Accentuation"/>
          <w:i w:val="0"/>
          <w:lang w:val="fr-FR"/>
        </w:rPr>
      </w:pPr>
      <w:r>
        <w:rPr>
          <w:rStyle w:val="Accentuation"/>
          <w:i w:val="0"/>
          <w:lang w:val="fr-FR"/>
        </w:rPr>
        <w:t xml:space="preserve">Les mutations politiques évoquées plus haut s’accompagnent du reste d’un regain d’intérêt pour la coopération régionale, comme cadre et stratégie de mise en synergie des moyens pour la formulation de réponses régionales </w:t>
      </w:r>
      <w:r w:rsidR="00E31B7E">
        <w:rPr>
          <w:rStyle w:val="Accentuation"/>
          <w:i w:val="0"/>
          <w:lang w:val="fr-FR"/>
        </w:rPr>
        <w:t>aux</w:t>
      </w:r>
      <w:r>
        <w:rPr>
          <w:rStyle w:val="Accentuation"/>
          <w:i w:val="0"/>
          <w:lang w:val="fr-FR"/>
        </w:rPr>
        <w:t xml:space="preserve"> défis communs de développement.</w:t>
      </w:r>
      <w:r w:rsidR="0032463F">
        <w:rPr>
          <w:rStyle w:val="Accentuation"/>
          <w:i w:val="0"/>
          <w:lang w:val="fr-FR"/>
        </w:rPr>
        <w:t xml:space="preserve"> </w:t>
      </w:r>
      <w:r>
        <w:rPr>
          <w:rStyle w:val="Accentuation"/>
          <w:i w:val="0"/>
          <w:lang w:val="fr-FR"/>
        </w:rPr>
        <w:t xml:space="preserve">Une relance du processus d’intégration </w:t>
      </w:r>
      <w:r w:rsidR="00854D6A">
        <w:rPr>
          <w:rStyle w:val="Accentuation"/>
          <w:i w:val="0"/>
          <w:lang w:val="fr-FR"/>
        </w:rPr>
        <w:t xml:space="preserve">maghrébine </w:t>
      </w:r>
      <w:r>
        <w:rPr>
          <w:rStyle w:val="Accentuation"/>
          <w:i w:val="0"/>
          <w:lang w:val="fr-FR"/>
        </w:rPr>
        <w:t>se dessine dans le court terme, et devrait se traduire par la remise en chantier d</w:t>
      </w:r>
      <w:r w:rsidR="002976BD">
        <w:rPr>
          <w:rStyle w:val="Accentuation"/>
          <w:i w:val="0"/>
          <w:lang w:val="fr-FR"/>
        </w:rPr>
        <w:t>’un nombre important d</w:t>
      </w:r>
      <w:r>
        <w:rPr>
          <w:rStyle w:val="Accentuation"/>
          <w:i w:val="0"/>
          <w:lang w:val="fr-FR"/>
        </w:rPr>
        <w:t xml:space="preserve">e politiques et </w:t>
      </w:r>
      <w:r w:rsidR="00F645AC">
        <w:rPr>
          <w:rStyle w:val="Accentuation"/>
          <w:i w:val="0"/>
          <w:lang w:val="fr-FR"/>
        </w:rPr>
        <w:t>stratégies</w:t>
      </w:r>
      <w:r>
        <w:rPr>
          <w:rStyle w:val="Accentuation"/>
          <w:i w:val="0"/>
          <w:lang w:val="fr-FR"/>
        </w:rPr>
        <w:t xml:space="preserve"> sous-tendu</w:t>
      </w:r>
      <w:r w:rsidR="00F645AC">
        <w:rPr>
          <w:rStyle w:val="Accentuation"/>
          <w:i w:val="0"/>
          <w:lang w:val="fr-FR"/>
        </w:rPr>
        <w:t>e</w:t>
      </w:r>
      <w:r>
        <w:rPr>
          <w:rStyle w:val="Accentuation"/>
          <w:i w:val="0"/>
          <w:lang w:val="fr-FR"/>
        </w:rPr>
        <w:t>s par le traité constitutif de l’UMA.</w:t>
      </w:r>
      <w:r w:rsidR="0032463F">
        <w:rPr>
          <w:rStyle w:val="Accentuation"/>
          <w:i w:val="0"/>
          <w:lang w:val="fr-FR"/>
        </w:rPr>
        <w:t xml:space="preserve"> </w:t>
      </w:r>
      <w:r w:rsidR="00E77D94">
        <w:rPr>
          <w:rStyle w:val="Accentuation"/>
          <w:i w:val="0"/>
          <w:lang w:val="fr-FR"/>
        </w:rPr>
        <w:t>L’efficacité de la relance de la dynamique régionale sera toutefois tributaire d’une définition pertinente des ordres de priorité, d’une mobilisation des ressources à la dimension des ambitions affichées et d’un engagement plus soutenu des acteurs de l’intégration maghrébine et de leurs partenaires.</w:t>
      </w:r>
    </w:p>
    <w:p w:rsidR="000163C0" w:rsidRDefault="000163C0" w:rsidP="00E77D94">
      <w:pPr>
        <w:jc w:val="both"/>
        <w:rPr>
          <w:rStyle w:val="Accentuation"/>
          <w:i w:val="0"/>
          <w:lang w:val="fr-FR"/>
        </w:rPr>
      </w:pPr>
    </w:p>
    <w:p w:rsidR="0032463F" w:rsidRDefault="0032463F" w:rsidP="00E77D94">
      <w:pPr>
        <w:jc w:val="both"/>
        <w:rPr>
          <w:rStyle w:val="Accentuation"/>
          <w:i w:val="0"/>
          <w:lang w:val="fr-FR"/>
        </w:rPr>
      </w:pPr>
    </w:p>
    <w:p w:rsidR="0032463F" w:rsidRDefault="0032463F" w:rsidP="00E77D94">
      <w:pPr>
        <w:jc w:val="both"/>
        <w:rPr>
          <w:rStyle w:val="Accentuation"/>
          <w:i w:val="0"/>
          <w:lang w:val="fr-FR"/>
        </w:rPr>
      </w:pPr>
    </w:p>
    <w:p w:rsidR="0032463F" w:rsidRDefault="0032463F" w:rsidP="00E77D94">
      <w:pPr>
        <w:jc w:val="both"/>
        <w:rPr>
          <w:rStyle w:val="Accentuation"/>
          <w:i w:val="0"/>
          <w:lang w:val="fr-FR"/>
        </w:rPr>
      </w:pPr>
    </w:p>
    <w:p w:rsidR="0032463F" w:rsidRDefault="0032463F" w:rsidP="00E77D94">
      <w:pPr>
        <w:jc w:val="both"/>
        <w:rPr>
          <w:rStyle w:val="Accentuation"/>
          <w:i w:val="0"/>
          <w:lang w:val="fr-FR"/>
        </w:rPr>
      </w:pPr>
    </w:p>
    <w:p w:rsidR="002C64C8" w:rsidRDefault="002C64C8" w:rsidP="00F245CA">
      <w:pPr>
        <w:rPr>
          <w:rStyle w:val="Accentuation"/>
          <w:b/>
          <w:i w:val="0"/>
          <w:lang w:val="fr-FR"/>
        </w:rPr>
      </w:pPr>
    </w:p>
    <w:p w:rsidR="00B33BFD" w:rsidRPr="00B33BFD" w:rsidRDefault="00B33BFD" w:rsidP="005E5FC7">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Pr>
          <w:rFonts w:ascii="Cambria" w:hAnsi="Cambria" w:cs="Arial"/>
          <w:b/>
          <w:bCs/>
          <w:color w:val="365F91" w:themeColor="accent1" w:themeShade="BF"/>
          <w:sz w:val="28"/>
          <w:szCs w:val="28"/>
          <w:lang w:val="fr-FR"/>
        </w:rPr>
        <w:lastRenderedPageBreak/>
        <w:t>Justification</w:t>
      </w:r>
    </w:p>
    <w:p w:rsidR="00B33BFD" w:rsidRPr="00B33BFD" w:rsidRDefault="00B33BFD" w:rsidP="00B33BFD">
      <w:pPr>
        <w:shd w:val="clear" w:color="auto" w:fill="1F497D" w:themeFill="text2"/>
        <w:jc w:val="both"/>
        <w:rPr>
          <w:sz w:val="10"/>
          <w:szCs w:val="10"/>
          <w:lang w:val="fr-FR"/>
        </w:rPr>
      </w:pPr>
    </w:p>
    <w:p w:rsidR="00B33BFD" w:rsidRDefault="00B33BFD" w:rsidP="00B33BFD">
      <w:pPr>
        <w:jc w:val="both"/>
        <w:rPr>
          <w:bCs/>
          <w:lang w:val="fr-FR"/>
        </w:rPr>
      </w:pPr>
    </w:p>
    <w:p w:rsidR="00B33BFD" w:rsidRDefault="00B33BFD" w:rsidP="00CC029E">
      <w:pPr>
        <w:ind w:left="-567"/>
        <w:jc w:val="both"/>
        <w:rPr>
          <w:rStyle w:val="Accentuation"/>
          <w:b/>
          <w:i w:val="0"/>
          <w:lang w:val="fr-FR"/>
        </w:rPr>
      </w:pPr>
    </w:p>
    <w:p w:rsidR="00E77D94" w:rsidRDefault="00E77D94" w:rsidP="00E77D94">
      <w:pPr>
        <w:jc w:val="both"/>
        <w:rPr>
          <w:lang w:val="fr-FR"/>
        </w:rPr>
      </w:pPr>
      <w:r w:rsidRPr="00A16F46">
        <w:rPr>
          <w:lang w:val="fr-FR"/>
        </w:rPr>
        <w:t xml:space="preserve">Le </w:t>
      </w:r>
      <w:r>
        <w:rPr>
          <w:lang w:val="fr-FR"/>
        </w:rPr>
        <w:t xml:space="preserve">Bureau pour l’Afrique du Nord de la CEA </w:t>
      </w:r>
      <w:r w:rsidR="001C1924">
        <w:rPr>
          <w:lang w:val="fr-FR"/>
        </w:rPr>
        <w:t xml:space="preserve">(CEA-AN) </w:t>
      </w:r>
      <w:r>
        <w:rPr>
          <w:lang w:val="fr-FR"/>
        </w:rPr>
        <w:t xml:space="preserve">a pour </w:t>
      </w:r>
      <w:r w:rsidRPr="00A16F46">
        <w:rPr>
          <w:lang w:val="fr-FR"/>
        </w:rPr>
        <w:t xml:space="preserve">mandat </w:t>
      </w:r>
      <w:r w:rsidR="001C1924">
        <w:rPr>
          <w:lang w:val="fr-FR"/>
        </w:rPr>
        <w:t xml:space="preserve">d’aider à </w:t>
      </w:r>
      <w:r w:rsidRPr="00A16F46">
        <w:rPr>
          <w:color w:val="000000"/>
          <w:lang w:val="fr-FR"/>
        </w:rPr>
        <w:t xml:space="preserve">« faciliter la coopération, l’intégration et le développement économiques au niveau sous-régional ». </w:t>
      </w:r>
      <w:r w:rsidR="001C1924">
        <w:rPr>
          <w:color w:val="000000"/>
          <w:lang w:val="fr-FR"/>
        </w:rPr>
        <w:t xml:space="preserve">Sur la période 2007-2012, </w:t>
      </w:r>
      <w:r w:rsidRPr="00A16F46">
        <w:rPr>
          <w:lang w:val="fr-FR"/>
        </w:rPr>
        <w:t xml:space="preserve">l’action du Bureau </w:t>
      </w:r>
      <w:r w:rsidR="001C1924">
        <w:rPr>
          <w:lang w:val="fr-FR"/>
        </w:rPr>
        <w:t xml:space="preserve">et de la CEA dans son ensemble </w:t>
      </w:r>
      <w:r w:rsidRPr="00A16F46">
        <w:rPr>
          <w:lang w:val="fr-FR"/>
        </w:rPr>
        <w:t xml:space="preserve">a été centrée sur deux axes stratégiques d’intervention: (i) </w:t>
      </w:r>
      <w:r>
        <w:rPr>
          <w:lang w:val="fr-FR"/>
        </w:rPr>
        <w:t xml:space="preserve">la promotion de </w:t>
      </w:r>
      <w:r w:rsidRPr="00A16F46">
        <w:rPr>
          <w:lang w:val="fr-FR"/>
        </w:rPr>
        <w:t xml:space="preserve">l’intégration régionale et (ii) </w:t>
      </w:r>
      <w:r>
        <w:rPr>
          <w:lang w:val="fr-FR"/>
        </w:rPr>
        <w:t xml:space="preserve">la formulation de réponses communes </w:t>
      </w:r>
      <w:r w:rsidRPr="00A16F46">
        <w:rPr>
          <w:lang w:val="fr-FR"/>
        </w:rPr>
        <w:t>aux besoins spéciaux de l’Afrique, en particulier dans le cadre des efforts visant à réaliser les OMD. Les questions émergentes dont les changements climatiques, la sécurité alimentaire et les énergies nouvelles et renouvelables occupent également une place de choix dans les programmes d’activités du Bureau.</w:t>
      </w:r>
    </w:p>
    <w:p w:rsidR="00E77D94" w:rsidRDefault="00E77D94" w:rsidP="00E77D94">
      <w:pPr>
        <w:jc w:val="both"/>
        <w:rPr>
          <w:lang w:val="fr-FR"/>
        </w:rPr>
      </w:pPr>
    </w:p>
    <w:p w:rsidR="001D0AC0" w:rsidRDefault="00E77D94" w:rsidP="005E5FC7">
      <w:pPr>
        <w:spacing w:after="360"/>
        <w:jc w:val="both"/>
        <w:rPr>
          <w:lang w:val="fr-FR"/>
        </w:rPr>
      </w:pPr>
      <w:r>
        <w:rPr>
          <w:rStyle w:val="Accentuation"/>
          <w:i w:val="0"/>
          <w:lang w:val="fr-FR"/>
        </w:rPr>
        <w:t xml:space="preserve">Dans l’exercice de </w:t>
      </w:r>
      <w:r w:rsidR="001C1924">
        <w:rPr>
          <w:rStyle w:val="Accentuation"/>
          <w:i w:val="0"/>
          <w:lang w:val="fr-FR"/>
        </w:rPr>
        <w:t xml:space="preserve">ce </w:t>
      </w:r>
      <w:r>
        <w:rPr>
          <w:rStyle w:val="Accentuation"/>
          <w:i w:val="0"/>
          <w:lang w:val="fr-FR"/>
        </w:rPr>
        <w:t xml:space="preserve">mandat, le Bureau pour l’Afrique du Nord de la CEA a vocation à accompagner </w:t>
      </w:r>
      <w:r w:rsidR="001C1924">
        <w:rPr>
          <w:rStyle w:val="Accentuation"/>
          <w:i w:val="0"/>
          <w:lang w:val="fr-FR"/>
        </w:rPr>
        <w:t>l</w:t>
      </w:r>
      <w:r>
        <w:rPr>
          <w:rStyle w:val="Accentuation"/>
          <w:i w:val="0"/>
          <w:lang w:val="fr-FR"/>
        </w:rPr>
        <w:t>e processus</w:t>
      </w:r>
      <w:r w:rsidR="001C1924">
        <w:rPr>
          <w:rStyle w:val="Accentuation"/>
          <w:i w:val="0"/>
          <w:lang w:val="fr-FR"/>
        </w:rPr>
        <w:t xml:space="preserve"> de relance de l’intégration maghrébine</w:t>
      </w:r>
      <w:r>
        <w:rPr>
          <w:rStyle w:val="Accentuation"/>
          <w:i w:val="0"/>
          <w:lang w:val="fr-FR"/>
        </w:rPr>
        <w:t>, notamment en apportant au Secrétariat général de l’UMA et aux autres institutions sous-régionales un soutien efficace dans la formulation et la mise en œuvre de</w:t>
      </w:r>
      <w:r w:rsidR="001C1924">
        <w:rPr>
          <w:rStyle w:val="Accentuation"/>
          <w:i w:val="0"/>
          <w:lang w:val="fr-FR"/>
        </w:rPr>
        <w:t xml:space="preserve"> leur</w:t>
      </w:r>
      <w:r>
        <w:rPr>
          <w:rStyle w:val="Accentuation"/>
          <w:i w:val="0"/>
          <w:lang w:val="fr-FR"/>
        </w:rPr>
        <w:t xml:space="preserve">s programmes </w:t>
      </w:r>
      <w:r w:rsidR="001C1924">
        <w:rPr>
          <w:rStyle w:val="Accentuation"/>
          <w:i w:val="0"/>
          <w:lang w:val="fr-FR"/>
        </w:rPr>
        <w:t>prioritaires</w:t>
      </w:r>
      <w:r>
        <w:rPr>
          <w:rStyle w:val="Accentuation"/>
          <w:i w:val="0"/>
          <w:lang w:val="fr-FR"/>
        </w:rPr>
        <w:t>.</w:t>
      </w:r>
      <w:r w:rsidR="001C1924">
        <w:rPr>
          <w:rStyle w:val="Accentuation"/>
          <w:i w:val="0"/>
          <w:lang w:val="fr-FR"/>
        </w:rPr>
        <w:t xml:space="preserve"> A cette fin, et dans la recherche continue d’une plus grande efficacité de son action</w:t>
      </w:r>
      <w:r w:rsidR="000163C0">
        <w:rPr>
          <w:rStyle w:val="Accentuation"/>
          <w:i w:val="0"/>
          <w:lang w:val="fr-FR"/>
        </w:rPr>
        <w:t xml:space="preserve">, </w:t>
      </w:r>
      <w:r w:rsidR="00552DA5">
        <w:rPr>
          <w:lang w:val="fr-FR"/>
        </w:rPr>
        <w:t>l</w:t>
      </w:r>
      <w:r w:rsidR="001D0AC0">
        <w:rPr>
          <w:lang w:val="fr-FR"/>
        </w:rPr>
        <w:t xml:space="preserve">e Bureau  a inscrit dans son programme d’activités </w:t>
      </w:r>
      <w:r w:rsidR="001C1924">
        <w:rPr>
          <w:lang w:val="fr-FR"/>
        </w:rPr>
        <w:t xml:space="preserve">2012-2013 </w:t>
      </w:r>
      <w:r w:rsidR="001D0AC0">
        <w:rPr>
          <w:lang w:val="fr-FR"/>
        </w:rPr>
        <w:t>l</w:t>
      </w:r>
      <w:r w:rsidR="00296B48">
        <w:rPr>
          <w:lang w:val="fr-FR"/>
        </w:rPr>
        <w:t>’organisation d’</w:t>
      </w:r>
      <w:r w:rsidR="001D0AC0">
        <w:rPr>
          <w:lang w:val="fr-FR"/>
        </w:rPr>
        <w:t xml:space="preserve">une </w:t>
      </w:r>
      <w:r w:rsidR="00D0021A">
        <w:rPr>
          <w:lang w:val="fr-FR"/>
        </w:rPr>
        <w:t xml:space="preserve">réunion de </w:t>
      </w:r>
      <w:r w:rsidR="00296B48">
        <w:rPr>
          <w:lang w:val="fr-FR"/>
        </w:rPr>
        <w:t xml:space="preserve">concertation </w:t>
      </w:r>
      <w:r w:rsidR="001C1924">
        <w:rPr>
          <w:lang w:val="fr-FR"/>
        </w:rPr>
        <w:t xml:space="preserve">avec le Secrétariat général de l’UMA et les autres </w:t>
      </w:r>
      <w:proofErr w:type="spellStart"/>
      <w:r w:rsidR="001C1924">
        <w:rPr>
          <w:lang w:val="fr-FR"/>
        </w:rPr>
        <w:t>OIGs</w:t>
      </w:r>
      <w:proofErr w:type="spellEnd"/>
      <w:r w:rsidR="001C1924">
        <w:rPr>
          <w:lang w:val="fr-FR"/>
        </w:rPr>
        <w:t xml:space="preserve"> </w:t>
      </w:r>
      <w:r w:rsidR="00F645AC">
        <w:rPr>
          <w:lang w:val="fr-FR"/>
        </w:rPr>
        <w:t xml:space="preserve">opérant dans </w:t>
      </w:r>
      <w:r w:rsidR="001D0AC0">
        <w:rPr>
          <w:lang w:val="fr-FR"/>
        </w:rPr>
        <w:t xml:space="preserve">la sous-région. </w:t>
      </w:r>
      <w:r w:rsidR="000143E2">
        <w:rPr>
          <w:lang w:val="fr-FR"/>
        </w:rPr>
        <w:t xml:space="preserve">Une note de réflexion </w:t>
      </w:r>
      <w:r w:rsidR="00D24528">
        <w:rPr>
          <w:lang w:val="fr-FR"/>
        </w:rPr>
        <w:t xml:space="preserve">sur les défis de la sous-région et les </w:t>
      </w:r>
      <w:r w:rsidR="00552DA5">
        <w:rPr>
          <w:lang w:val="fr-FR"/>
        </w:rPr>
        <w:t xml:space="preserve">axes prioritaires de relance du schéma d’intégration </w:t>
      </w:r>
      <w:r w:rsidR="000143E2">
        <w:rPr>
          <w:lang w:val="fr-FR"/>
        </w:rPr>
        <w:t>sera élaborée par le Bureau</w:t>
      </w:r>
      <w:r w:rsidR="00552DA5">
        <w:rPr>
          <w:lang w:val="fr-FR"/>
        </w:rPr>
        <w:t xml:space="preserve">, </w:t>
      </w:r>
      <w:r w:rsidR="000163C0">
        <w:rPr>
          <w:lang w:val="fr-FR"/>
        </w:rPr>
        <w:t xml:space="preserve">pour servir de </w:t>
      </w:r>
      <w:r w:rsidR="000143E2">
        <w:rPr>
          <w:lang w:val="fr-FR"/>
        </w:rPr>
        <w:t>document de travail introductif à la concertation.</w:t>
      </w:r>
      <w:r w:rsidR="0032463F">
        <w:rPr>
          <w:lang w:val="fr-FR"/>
        </w:rPr>
        <w:t xml:space="preserve"> </w:t>
      </w:r>
      <w:r w:rsidR="00552DA5">
        <w:rPr>
          <w:lang w:val="fr-FR"/>
        </w:rPr>
        <w:t>Elle sera complétée</w:t>
      </w:r>
      <w:r w:rsidR="000163C0">
        <w:rPr>
          <w:lang w:val="fr-FR"/>
        </w:rPr>
        <w:t>, le cas échéant,</w:t>
      </w:r>
      <w:r w:rsidR="00552DA5">
        <w:rPr>
          <w:lang w:val="fr-FR"/>
        </w:rPr>
        <w:t xml:space="preserve"> par des communications des autres </w:t>
      </w:r>
      <w:r w:rsidR="00B13CAD">
        <w:rPr>
          <w:lang w:val="fr-FR"/>
        </w:rPr>
        <w:t>institutions</w:t>
      </w:r>
      <w:r w:rsidR="00552DA5">
        <w:rPr>
          <w:lang w:val="fr-FR"/>
        </w:rPr>
        <w:t xml:space="preserve"> sur leur </w:t>
      </w:r>
      <w:r w:rsidR="00AB03C8">
        <w:rPr>
          <w:lang w:val="fr-FR"/>
        </w:rPr>
        <w:t>analyse</w:t>
      </w:r>
      <w:r w:rsidR="00552DA5">
        <w:rPr>
          <w:lang w:val="fr-FR"/>
        </w:rPr>
        <w:t xml:space="preserve"> du contexte sous-régional </w:t>
      </w:r>
      <w:r w:rsidR="00AB03C8">
        <w:rPr>
          <w:lang w:val="fr-FR"/>
        </w:rPr>
        <w:t>et des perspectives de relance d</w:t>
      </w:r>
      <w:r w:rsidR="0097141D">
        <w:rPr>
          <w:lang w:val="fr-FR"/>
        </w:rPr>
        <w:t>e l’</w:t>
      </w:r>
      <w:r w:rsidR="00B13CAD">
        <w:rPr>
          <w:lang w:val="fr-FR"/>
        </w:rPr>
        <w:t>intégration maghrébine.</w:t>
      </w:r>
    </w:p>
    <w:p w:rsidR="00237370" w:rsidRDefault="00237370" w:rsidP="00F245CA">
      <w:pPr>
        <w:jc w:val="both"/>
        <w:rPr>
          <w:lang w:val="fr-FR"/>
        </w:rPr>
      </w:pPr>
    </w:p>
    <w:p w:rsidR="005E5FC7" w:rsidRDefault="001C3050" w:rsidP="005E5FC7">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sidRPr="005E5FC7">
        <w:rPr>
          <w:rFonts w:ascii="Cambria" w:hAnsi="Cambria" w:cs="Arial"/>
          <w:b/>
          <w:bCs/>
          <w:color w:val="365F91" w:themeColor="accent1" w:themeShade="BF"/>
          <w:sz w:val="28"/>
          <w:szCs w:val="28"/>
          <w:lang w:val="fr-FR"/>
        </w:rPr>
        <w:t>Objectifs de la concertation</w:t>
      </w:r>
    </w:p>
    <w:p w:rsidR="005E5FC7" w:rsidRPr="005E5FC7" w:rsidRDefault="005E5FC7" w:rsidP="005E5FC7">
      <w:pPr>
        <w:shd w:val="clear" w:color="auto" w:fill="1F497D" w:themeFill="text2"/>
        <w:jc w:val="both"/>
        <w:rPr>
          <w:sz w:val="10"/>
          <w:szCs w:val="10"/>
          <w:lang w:val="fr-FR"/>
        </w:rPr>
      </w:pPr>
    </w:p>
    <w:p w:rsidR="00E4151A" w:rsidRPr="001255BC" w:rsidRDefault="00585F00" w:rsidP="005E5FC7">
      <w:pPr>
        <w:spacing w:before="480"/>
        <w:jc w:val="both"/>
        <w:rPr>
          <w:b/>
          <w:lang w:val="fr-FR"/>
        </w:rPr>
      </w:pPr>
      <w:r w:rsidRPr="001255BC">
        <w:rPr>
          <w:lang w:val="fr-FR"/>
        </w:rPr>
        <w:t xml:space="preserve">L’objectif </w:t>
      </w:r>
      <w:r w:rsidR="00656508" w:rsidRPr="001255BC">
        <w:rPr>
          <w:lang w:val="fr-FR"/>
        </w:rPr>
        <w:t xml:space="preserve">général </w:t>
      </w:r>
      <w:r w:rsidRPr="001255BC">
        <w:rPr>
          <w:lang w:val="fr-FR"/>
        </w:rPr>
        <w:t xml:space="preserve">de la </w:t>
      </w:r>
      <w:r w:rsidR="00BB7A43" w:rsidRPr="001255BC">
        <w:rPr>
          <w:lang w:val="fr-FR"/>
        </w:rPr>
        <w:t xml:space="preserve">concertation </w:t>
      </w:r>
      <w:r w:rsidRPr="001255BC">
        <w:rPr>
          <w:lang w:val="fr-FR"/>
        </w:rPr>
        <w:t xml:space="preserve">est </w:t>
      </w:r>
      <w:r w:rsidR="00656508" w:rsidRPr="001255BC">
        <w:rPr>
          <w:lang w:val="fr-FR"/>
        </w:rPr>
        <w:t xml:space="preserve">d’accompagner </w:t>
      </w:r>
      <w:r w:rsidR="000D505F">
        <w:rPr>
          <w:lang w:val="fr-FR"/>
        </w:rPr>
        <w:t xml:space="preserve">la réflexion et </w:t>
      </w:r>
      <w:r w:rsidR="00656508" w:rsidRPr="001255BC">
        <w:rPr>
          <w:lang w:val="fr-FR"/>
        </w:rPr>
        <w:t xml:space="preserve">les efforts </w:t>
      </w:r>
      <w:r w:rsidR="000D505F">
        <w:rPr>
          <w:lang w:val="fr-FR"/>
        </w:rPr>
        <w:t xml:space="preserve">en cours pour </w:t>
      </w:r>
      <w:r w:rsidR="0058064D">
        <w:rPr>
          <w:lang w:val="fr-FR"/>
        </w:rPr>
        <w:t xml:space="preserve">l’accélération du </w:t>
      </w:r>
      <w:r w:rsidR="00146BE0">
        <w:rPr>
          <w:lang w:val="fr-FR"/>
        </w:rPr>
        <w:t>processus d’</w:t>
      </w:r>
      <w:r w:rsidR="00656508" w:rsidRPr="001255BC">
        <w:rPr>
          <w:lang w:val="fr-FR"/>
        </w:rPr>
        <w:t>édification d’un espace économique intégré</w:t>
      </w:r>
      <w:r w:rsidR="000D505F">
        <w:rPr>
          <w:lang w:val="fr-FR"/>
        </w:rPr>
        <w:t xml:space="preserve"> en Afrique du Nord. </w:t>
      </w:r>
      <w:r w:rsidR="0058064D">
        <w:rPr>
          <w:lang w:val="fr-FR"/>
        </w:rPr>
        <w:t>Il s’agira notamment de partager les analyses sur les perspectives à moyen terme d</w:t>
      </w:r>
      <w:r w:rsidR="00146BE0">
        <w:rPr>
          <w:lang w:val="fr-FR"/>
        </w:rPr>
        <w:t>e l’UMA</w:t>
      </w:r>
      <w:r w:rsidR="008B0535">
        <w:rPr>
          <w:lang w:val="fr-FR"/>
        </w:rPr>
        <w:t>, des organismes affiliés</w:t>
      </w:r>
      <w:r w:rsidR="00146BE0">
        <w:rPr>
          <w:lang w:val="fr-FR"/>
        </w:rPr>
        <w:t xml:space="preserve"> et des autres institutions sous-régionales </w:t>
      </w:r>
      <w:r w:rsidR="0058064D">
        <w:rPr>
          <w:lang w:val="fr-FR"/>
        </w:rPr>
        <w:t xml:space="preserve">à la lumière des mutations politiques intervenues depuis 2011, et de fournir aux décideurs et animateurs du processus d’intégration maghrébine des pistes de réflexion et d’action </w:t>
      </w:r>
      <w:r w:rsidR="00146BE0">
        <w:rPr>
          <w:lang w:val="fr-FR"/>
        </w:rPr>
        <w:t xml:space="preserve">pour une </w:t>
      </w:r>
      <w:r w:rsidR="008B0535">
        <w:rPr>
          <w:lang w:val="fr-FR"/>
        </w:rPr>
        <w:t xml:space="preserve">plus grande </w:t>
      </w:r>
      <w:r w:rsidR="00146BE0">
        <w:rPr>
          <w:lang w:val="fr-FR"/>
        </w:rPr>
        <w:t>efficacité</w:t>
      </w:r>
      <w:r w:rsidR="008B0535">
        <w:rPr>
          <w:lang w:val="fr-FR"/>
        </w:rPr>
        <w:t xml:space="preserve"> et une plus meilleure visibilité du dispositif de coopération régionale.</w:t>
      </w:r>
    </w:p>
    <w:p w:rsidR="006808AC" w:rsidRDefault="006808AC" w:rsidP="00D67B4C">
      <w:pPr>
        <w:jc w:val="both"/>
        <w:rPr>
          <w:lang w:val="fr-FR"/>
        </w:rPr>
      </w:pPr>
    </w:p>
    <w:p w:rsidR="006808AC" w:rsidRDefault="006808AC" w:rsidP="00D67B4C">
      <w:pPr>
        <w:jc w:val="both"/>
        <w:rPr>
          <w:lang w:val="fr-FR"/>
        </w:rPr>
      </w:pPr>
      <w:r>
        <w:rPr>
          <w:lang w:val="fr-FR"/>
        </w:rPr>
        <w:t>Les objectifs spécifiques sont :</w:t>
      </w:r>
    </w:p>
    <w:p w:rsidR="00606D77" w:rsidRDefault="00492C53" w:rsidP="006808AC">
      <w:pPr>
        <w:pStyle w:val="Paragraphedeliste"/>
        <w:numPr>
          <w:ilvl w:val="0"/>
          <w:numId w:val="2"/>
        </w:numPr>
        <w:jc w:val="both"/>
        <w:rPr>
          <w:rFonts w:ascii="Times New Roman" w:hAnsi="Times New Roman"/>
          <w:sz w:val="24"/>
          <w:szCs w:val="24"/>
          <w:lang w:val="fr-FR"/>
        </w:rPr>
      </w:pPr>
      <w:r>
        <w:rPr>
          <w:rFonts w:ascii="Times New Roman" w:hAnsi="Times New Roman"/>
          <w:sz w:val="24"/>
          <w:szCs w:val="24"/>
          <w:lang w:val="fr-FR"/>
        </w:rPr>
        <w:t xml:space="preserve">Echanger sur les conditions optimales de relance </w:t>
      </w:r>
      <w:r w:rsidR="005C1DA5">
        <w:rPr>
          <w:rFonts w:ascii="Times New Roman" w:hAnsi="Times New Roman"/>
          <w:sz w:val="24"/>
          <w:szCs w:val="24"/>
          <w:lang w:val="fr-FR"/>
        </w:rPr>
        <w:t xml:space="preserve">du processus d’intégration maghrébine </w:t>
      </w:r>
      <w:r>
        <w:rPr>
          <w:rFonts w:ascii="Times New Roman" w:hAnsi="Times New Roman"/>
          <w:sz w:val="24"/>
          <w:szCs w:val="24"/>
          <w:lang w:val="fr-FR"/>
        </w:rPr>
        <w:t xml:space="preserve"> et les </w:t>
      </w:r>
      <w:r w:rsidR="00BB7A43">
        <w:rPr>
          <w:rFonts w:ascii="Times New Roman" w:hAnsi="Times New Roman"/>
          <w:sz w:val="24"/>
          <w:szCs w:val="24"/>
          <w:lang w:val="fr-FR"/>
        </w:rPr>
        <w:t xml:space="preserve">axes </w:t>
      </w:r>
      <w:r>
        <w:rPr>
          <w:rFonts w:ascii="Times New Roman" w:hAnsi="Times New Roman"/>
          <w:sz w:val="24"/>
          <w:szCs w:val="24"/>
          <w:lang w:val="fr-FR"/>
        </w:rPr>
        <w:t>prioritaires d’</w:t>
      </w:r>
      <w:r w:rsidR="00606D77">
        <w:rPr>
          <w:rFonts w:ascii="Times New Roman" w:hAnsi="Times New Roman"/>
          <w:sz w:val="24"/>
          <w:szCs w:val="24"/>
          <w:lang w:val="fr-FR"/>
        </w:rPr>
        <w:t>action</w:t>
      </w:r>
      <w:r w:rsidR="0032463F">
        <w:rPr>
          <w:rFonts w:ascii="Times New Roman" w:hAnsi="Times New Roman"/>
          <w:sz w:val="24"/>
          <w:szCs w:val="24"/>
          <w:lang w:val="fr-FR"/>
        </w:rPr>
        <w:t xml:space="preserve"> </w:t>
      </w:r>
      <w:r w:rsidR="00BB7A43">
        <w:rPr>
          <w:rFonts w:ascii="Times New Roman" w:hAnsi="Times New Roman"/>
          <w:sz w:val="24"/>
          <w:szCs w:val="24"/>
          <w:lang w:val="fr-FR"/>
        </w:rPr>
        <w:t xml:space="preserve">pour un processus </w:t>
      </w:r>
      <w:r w:rsidR="001255BC">
        <w:rPr>
          <w:rFonts w:ascii="Times New Roman" w:hAnsi="Times New Roman"/>
          <w:sz w:val="24"/>
          <w:szCs w:val="24"/>
          <w:lang w:val="fr-FR"/>
        </w:rPr>
        <w:t xml:space="preserve">plus </w:t>
      </w:r>
      <w:r w:rsidR="00BB7A43">
        <w:rPr>
          <w:rFonts w:ascii="Times New Roman" w:hAnsi="Times New Roman"/>
          <w:sz w:val="24"/>
          <w:szCs w:val="24"/>
          <w:lang w:val="fr-FR"/>
        </w:rPr>
        <w:t xml:space="preserve">soutenu vers </w:t>
      </w:r>
      <w:r w:rsidR="00606D77">
        <w:rPr>
          <w:rFonts w:ascii="Times New Roman" w:hAnsi="Times New Roman"/>
          <w:sz w:val="24"/>
          <w:szCs w:val="24"/>
          <w:lang w:val="fr-FR"/>
        </w:rPr>
        <w:t>l’édification d’un espace économique intégré ;</w:t>
      </w:r>
    </w:p>
    <w:p w:rsidR="000163C0" w:rsidRDefault="000163C0" w:rsidP="000163C0">
      <w:pPr>
        <w:pStyle w:val="Paragraphedeliste"/>
        <w:jc w:val="both"/>
        <w:rPr>
          <w:rFonts w:ascii="Times New Roman" w:hAnsi="Times New Roman"/>
          <w:sz w:val="24"/>
          <w:szCs w:val="24"/>
          <w:lang w:val="fr-FR"/>
        </w:rPr>
      </w:pPr>
    </w:p>
    <w:p w:rsidR="005E5FC7" w:rsidRDefault="00606D77" w:rsidP="006808AC">
      <w:pPr>
        <w:pStyle w:val="Paragraphedeliste"/>
        <w:numPr>
          <w:ilvl w:val="0"/>
          <w:numId w:val="2"/>
        </w:numPr>
        <w:jc w:val="both"/>
        <w:rPr>
          <w:rFonts w:ascii="Times New Roman" w:hAnsi="Times New Roman"/>
          <w:sz w:val="24"/>
          <w:szCs w:val="24"/>
          <w:lang w:val="fr-FR"/>
        </w:rPr>
      </w:pPr>
      <w:r>
        <w:rPr>
          <w:rFonts w:ascii="Times New Roman" w:hAnsi="Times New Roman"/>
          <w:sz w:val="24"/>
          <w:szCs w:val="24"/>
          <w:lang w:val="fr-FR"/>
        </w:rPr>
        <w:t xml:space="preserve">Formuler des recommandations </w:t>
      </w:r>
      <w:r w:rsidR="000D505F">
        <w:rPr>
          <w:rFonts w:ascii="Times New Roman" w:hAnsi="Times New Roman"/>
          <w:sz w:val="24"/>
          <w:szCs w:val="24"/>
          <w:lang w:val="fr-FR"/>
        </w:rPr>
        <w:t xml:space="preserve">à l’endroit des </w:t>
      </w:r>
      <w:r w:rsidR="00146BE0">
        <w:rPr>
          <w:rFonts w:ascii="Times New Roman" w:hAnsi="Times New Roman"/>
          <w:sz w:val="24"/>
          <w:szCs w:val="24"/>
          <w:lang w:val="fr-FR"/>
        </w:rPr>
        <w:t xml:space="preserve">acteurs et des </w:t>
      </w:r>
      <w:r w:rsidR="000D505F">
        <w:rPr>
          <w:rFonts w:ascii="Times New Roman" w:hAnsi="Times New Roman"/>
          <w:sz w:val="24"/>
          <w:szCs w:val="24"/>
          <w:lang w:val="fr-FR"/>
        </w:rPr>
        <w:t>partenaires</w:t>
      </w:r>
      <w:r w:rsidR="0097141D">
        <w:rPr>
          <w:rFonts w:ascii="Times New Roman" w:hAnsi="Times New Roman"/>
          <w:sz w:val="24"/>
          <w:szCs w:val="24"/>
          <w:lang w:val="fr-FR"/>
        </w:rPr>
        <w:t>, aux fins d’</w:t>
      </w:r>
      <w:r>
        <w:rPr>
          <w:rFonts w:ascii="Times New Roman" w:hAnsi="Times New Roman"/>
          <w:sz w:val="24"/>
          <w:szCs w:val="24"/>
          <w:lang w:val="fr-FR"/>
        </w:rPr>
        <w:t xml:space="preserve">un appui concerté </w:t>
      </w:r>
      <w:r w:rsidR="000163C0">
        <w:rPr>
          <w:rFonts w:ascii="Times New Roman" w:hAnsi="Times New Roman"/>
          <w:sz w:val="24"/>
          <w:szCs w:val="24"/>
          <w:lang w:val="fr-FR"/>
        </w:rPr>
        <w:t xml:space="preserve">et efficace </w:t>
      </w:r>
      <w:r>
        <w:rPr>
          <w:rFonts w:ascii="Times New Roman" w:hAnsi="Times New Roman"/>
          <w:sz w:val="24"/>
          <w:szCs w:val="24"/>
          <w:lang w:val="fr-FR"/>
        </w:rPr>
        <w:t>à l’accélération du processus d’intégration régionale</w:t>
      </w:r>
      <w:r w:rsidR="001E33C3">
        <w:rPr>
          <w:rFonts w:ascii="Times New Roman" w:hAnsi="Times New Roman"/>
          <w:sz w:val="24"/>
          <w:szCs w:val="24"/>
          <w:lang w:val="fr-FR"/>
        </w:rPr>
        <w:t>.</w:t>
      </w:r>
    </w:p>
    <w:p w:rsidR="005E5FC7" w:rsidRDefault="005E5FC7">
      <w:pPr>
        <w:rPr>
          <w:rFonts w:eastAsia="Calibri"/>
          <w:lang w:val="fr-FR"/>
        </w:rPr>
      </w:pPr>
      <w:r>
        <w:rPr>
          <w:lang w:val="fr-FR"/>
        </w:rPr>
        <w:br w:type="page"/>
      </w:r>
    </w:p>
    <w:p w:rsidR="005E5FC7" w:rsidRPr="005E5FC7" w:rsidRDefault="005E5FC7" w:rsidP="005E5FC7">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sidRPr="005E5FC7">
        <w:rPr>
          <w:rFonts w:ascii="Cambria" w:hAnsi="Cambria" w:cs="Arial"/>
          <w:b/>
          <w:bCs/>
          <w:color w:val="365F91" w:themeColor="accent1" w:themeShade="BF"/>
          <w:sz w:val="28"/>
          <w:szCs w:val="28"/>
          <w:lang w:val="fr-FR"/>
        </w:rPr>
        <w:lastRenderedPageBreak/>
        <w:t>Format de la réunion</w:t>
      </w:r>
    </w:p>
    <w:p w:rsidR="005E5FC7" w:rsidRPr="005E5FC7" w:rsidRDefault="005E5FC7" w:rsidP="005E5FC7">
      <w:pPr>
        <w:shd w:val="clear" w:color="auto" w:fill="1F497D" w:themeFill="text2"/>
        <w:jc w:val="both"/>
        <w:rPr>
          <w:sz w:val="10"/>
          <w:szCs w:val="10"/>
          <w:lang w:val="fr-FR"/>
        </w:rPr>
      </w:pPr>
    </w:p>
    <w:p w:rsidR="00B73A3E" w:rsidRDefault="00B73A3E" w:rsidP="008E10A9">
      <w:pPr>
        <w:spacing w:before="360"/>
        <w:jc w:val="both"/>
        <w:rPr>
          <w:lang w:val="fr-FR"/>
        </w:rPr>
      </w:pPr>
      <w:r w:rsidRPr="00B73A3E">
        <w:rPr>
          <w:lang w:val="fr-FR"/>
        </w:rPr>
        <w:t xml:space="preserve">La réunion est prévue pour durer </w:t>
      </w:r>
      <w:r w:rsidR="008B0535">
        <w:rPr>
          <w:lang w:val="fr-FR"/>
        </w:rPr>
        <w:t>une journée</w:t>
      </w:r>
      <w:r w:rsidRPr="00B73A3E">
        <w:rPr>
          <w:lang w:val="fr-FR"/>
        </w:rPr>
        <w:t xml:space="preserve">. Ses travaux seront organisés en séances plénières consacrées à (i) </w:t>
      </w:r>
      <w:r w:rsidR="008B0535">
        <w:rPr>
          <w:lang w:val="fr-FR"/>
        </w:rPr>
        <w:t xml:space="preserve">une </w:t>
      </w:r>
      <w:r w:rsidRPr="00B73A3E">
        <w:rPr>
          <w:lang w:val="fr-FR"/>
        </w:rPr>
        <w:t xml:space="preserve">analyse </w:t>
      </w:r>
      <w:r w:rsidR="008B0535">
        <w:rPr>
          <w:lang w:val="fr-FR"/>
        </w:rPr>
        <w:t xml:space="preserve">succincte </w:t>
      </w:r>
      <w:r w:rsidRPr="00B73A3E">
        <w:rPr>
          <w:lang w:val="fr-FR"/>
        </w:rPr>
        <w:t xml:space="preserve">du </w:t>
      </w:r>
      <w:r w:rsidR="005C1DA5">
        <w:rPr>
          <w:lang w:val="fr-FR"/>
        </w:rPr>
        <w:t xml:space="preserve">nouveau </w:t>
      </w:r>
      <w:r w:rsidRPr="00B73A3E">
        <w:rPr>
          <w:lang w:val="fr-FR"/>
        </w:rPr>
        <w:t xml:space="preserve">contexte </w:t>
      </w:r>
      <w:r w:rsidR="0032463F">
        <w:rPr>
          <w:lang w:val="fr-FR"/>
        </w:rPr>
        <w:t>sociopolitique</w:t>
      </w:r>
      <w:r w:rsidR="005C1DA5">
        <w:rPr>
          <w:lang w:val="fr-FR"/>
        </w:rPr>
        <w:t xml:space="preserve"> </w:t>
      </w:r>
      <w:r w:rsidRPr="00B73A3E">
        <w:rPr>
          <w:lang w:val="fr-FR"/>
        </w:rPr>
        <w:t>et des défis majeurs de développement</w:t>
      </w:r>
      <w:r w:rsidR="005C1DA5">
        <w:rPr>
          <w:lang w:val="fr-FR"/>
        </w:rPr>
        <w:t xml:space="preserve"> de la sous-région</w:t>
      </w:r>
      <w:r w:rsidRPr="00B73A3E">
        <w:rPr>
          <w:lang w:val="fr-FR"/>
        </w:rPr>
        <w:t>, (ii) un échange sur les priorités en termes de relance du processus d’intégration régionale et (iii) l</w:t>
      </w:r>
      <w:r w:rsidR="008B0535">
        <w:rPr>
          <w:lang w:val="fr-FR"/>
        </w:rPr>
        <w:t>a formulation de recommandations pour un engagement plus soutenu des acteurs et des partenaires.</w:t>
      </w:r>
    </w:p>
    <w:p w:rsidR="00B73A3E" w:rsidRPr="00B73A3E" w:rsidRDefault="00B73A3E" w:rsidP="00B73A3E">
      <w:pPr>
        <w:jc w:val="both"/>
        <w:rPr>
          <w:lang w:val="fr-FR"/>
        </w:rPr>
      </w:pPr>
    </w:p>
    <w:p w:rsidR="00E4151A" w:rsidRPr="005E5FC7" w:rsidRDefault="001C3050" w:rsidP="005E5FC7">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sidRPr="005E5FC7">
        <w:rPr>
          <w:rFonts w:ascii="Cambria" w:hAnsi="Cambria" w:cs="Arial"/>
          <w:b/>
          <w:bCs/>
          <w:color w:val="365F91" w:themeColor="accent1" w:themeShade="BF"/>
          <w:sz w:val="28"/>
          <w:szCs w:val="28"/>
          <w:lang w:val="fr-FR"/>
        </w:rPr>
        <w:t>Résultats attendus</w:t>
      </w:r>
    </w:p>
    <w:p w:rsidR="00AB1E29" w:rsidRPr="008E10A9" w:rsidRDefault="00AB1E29" w:rsidP="008E10A9">
      <w:pPr>
        <w:shd w:val="clear" w:color="auto" w:fill="1F497D" w:themeFill="text2"/>
        <w:jc w:val="both"/>
        <w:rPr>
          <w:sz w:val="10"/>
          <w:szCs w:val="10"/>
          <w:lang w:val="fr-FR"/>
        </w:rPr>
      </w:pPr>
    </w:p>
    <w:p w:rsidR="008E10A9" w:rsidRPr="008E10A9" w:rsidRDefault="008E10A9" w:rsidP="008E10A9">
      <w:pPr>
        <w:shd w:val="clear" w:color="auto" w:fill="FFFFFF" w:themeFill="background1"/>
        <w:spacing w:before="360"/>
        <w:jc w:val="both"/>
        <w:rPr>
          <w:lang w:val="fr-FR"/>
        </w:rPr>
      </w:pPr>
      <w:r w:rsidRPr="008E10A9">
        <w:rPr>
          <w:lang w:val="fr-FR"/>
        </w:rPr>
        <w:t>Les résultats escomptés sont notamment:</w:t>
      </w:r>
    </w:p>
    <w:p w:rsidR="001E33C3" w:rsidRDefault="00237370" w:rsidP="008E10A9">
      <w:pPr>
        <w:pStyle w:val="Paragraphedeliste"/>
        <w:numPr>
          <w:ilvl w:val="0"/>
          <w:numId w:val="3"/>
        </w:numPr>
        <w:spacing w:before="240"/>
        <w:jc w:val="both"/>
        <w:rPr>
          <w:rFonts w:ascii="Times New Roman" w:hAnsi="Times New Roman"/>
          <w:sz w:val="24"/>
          <w:szCs w:val="24"/>
          <w:lang w:val="fr-FR"/>
        </w:rPr>
      </w:pPr>
      <w:r>
        <w:rPr>
          <w:rFonts w:ascii="Times New Roman" w:hAnsi="Times New Roman"/>
          <w:sz w:val="24"/>
          <w:szCs w:val="24"/>
          <w:lang w:val="fr-FR"/>
        </w:rPr>
        <w:t xml:space="preserve">Définir </w:t>
      </w:r>
      <w:r w:rsidR="001E33C3">
        <w:rPr>
          <w:rFonts w:ascii="Times New Roman" w:hAnsi="Times New Roman"/>
          <w:sz w:val="24"/>
          <w:szCs w:val="24"/>
          <w:lang w:val="fr-FR"/>
        </w:rPr>
        <w:t xml:space="preserve"> une vision partagée </w:t>
      </w:r>
      <w:r w:rsidR="00F245CA">
        <w:rPr>
          <w:rFonts w:ascii="Times New Roman" w:hAnsi="Times New Roman"/>
          <w:sz w:val="24"/>
          <w:szCs w:val="24"/>
          <w:lang w:val="fr-FR"/>
        </w:rPr>
        <w:t xml:space="preserve">(i) </w:t>
      </w:r>
      <w:r w:rsidR="001E33C3">
        <w:rPr>
          <w:rFonts w:ascii="Times New Roman" w:hAnsi="Times New Roman"/>
          <w:sz w:val="24"/>
          <w:szCs w:val="24"/>
          <w:lang w:val="fr-FR"/>
        </w:rPr>
        <w:t>sur les défis de la sous-région dans le contexte de</w:t>
      </w:r>
      <w:r w:rsidR="005C1DA5">
        <w:rPr>
          <w:rFonts w:ascii="Times New Roman" w:hAnsi="Times New Roman"/>
          <w:sz w:val="24"/>
          <w:szCs w:val="24"/>
          <w:lang w:val="fr-FR"/>
        </w:rPr>
        <w:t>s</w:t>
      </w:r>
      <w:r w:rsidR="0032463F">
        <w:rPr>
          <w:rFonts w:ascii="Times New Roman" w:hAnsi="Times New Roman"/>
          <w:sz w:val="24"/>
          <w:szCs w:val="24"/>
          <w:lang w:val="fr-FR"/>
        </w:rPr>
        <w:t xml:space="preserve"> </w:t>
      </w:r>
      <w:r w:rsidR="005C1DA5">
        <w:rPr>
          <w:rFonts w:ascii="Times New Roman" w:hAnsi="Times New Roman"/>
          <w:sz w:val="24"/>
          <w:szCs w:val="24"/>
          <w:lang w:val="fr-FR"/>
        </w:rPr>
        <w:t xml:space="preserve">mutations politiques en cours </w:t>
      </w:r>
      <w:r w:rsidR="001E33C3">
        <w:rPr>
          <w:rFonts w:ascii="Times New Roman" w:hAnsi="Times New Roman"/>
          <w:sz w:val="24"/>
          <w:szCs w:val="24"/>
          <w:lang w:val="fr-FR"/>
        </w:rPr>
        <w:t xml:space="preserve"> et </w:t>
      </w:r>
      <w:r w:rsidR="00F245CA">
        <w:rPr>
          <w:rFonts w:ascii="Times New Roman" w:hAnsi="Times New Roman"/>
          <w:sz w:val="24"/>
          <w:szCs w:val="24"/>
          <w:lang w:val="fr-FR"/>
        </w:rPr>
        <w:t xml:space="preserve">(ii) </w:t>
      </w:r>
      <w:r w:rsidR="001255BC">
        <w:rPr>
          <w:rFonts w:ascii="Times New Roman" w:hAnsi="Times New Roman"/>
          <w:sz w:val="24"/>
          <w:szCs w:val="24"/>
          <w:lang w:val="fr-FR"/>
        </w:rPr>
        <w:t xml:space="preserve">sur </w:t>
      </w:r>
      <w:r w:rsidR="001E33C3">
        <w:rPr>
          <w:rFonts w:ascii="Times New Roman" w:hAnsi="Times New Roman"/>
          <w:sz w:val="24"/>
          <w:szCs w:val="24"/>
          <w:lang w:val="fr-FR"/>
        </w:rPr>
        <w:t>les priorités pour une relance efficiente d</w:t>
      </w:r>
      <w:r w:rsidR="0038688F">
        <w:rPr>
          <w:rFonts w:ascii="Times New Roman" w:hAnsi="Times New Roman"/>
          <w:sz w:val="24"/>
          <w:szCs w:val="24"/>
          <w:lang w:val="fr-FR"/>
        </w:rPr>
        <w:t>e l’intégration  maghrébine</w:t>
      </w:r>
      <w:r w:rsidR="001E33C3">
        <w:rPr>
          <w:rFonts w:ascii="Times New Roman" w:hAnsi="Times New Roman"/>
          <w:sz w:val="24"/>
          <w:szCs w:val="24"/>
          <w:lang w:val="fr-FR"/>
        </w:rPr>
        <w:t> ;</w:t>
      </w:r>
    </w:p>
    <w:p w:rsidR="001255BC" w:rsidRDefault="001255BC" w:rsidP="00BE797B">
      <w:pPr>
        <w:pStyle w:val="Paragraphedeliste"/>
        <w:numPr>
          <w:ilvl w:val="0"/>
          <w:numId w:val="3"/>
        </w:numPr>
        <w:jc w:val="both"/>
        <w:rPr>
          <w:rFonts w:ascii="Times New Roman" w:hAnsi="Times New Roman"/>
          <w:sz w:val="24"/>
          <w:szCs w:val="24"/>
          <w:lang w:val="fr-FR"/>
        </w:rPr>
      </w:pPr>
      <w:r>
        <w:rPr>
          <w:rFonts w:ascii="Times New Roman" w:hAnsi="Times New Roman"/>
          <w:sz w:val="24"/>
          <w:szCs w:val="24"/>
          <w:lang w:val="fr-FR"/>
        </w:rPr>
        <w:t>Fournir un service conseil aux acteurs et animateurs du processus d’intégration  en Afrique du Nord</w:t>
      </w:r>
      <w:r w:rsidR="00F245CA">
        <w:rPr>
          <w:rFonts w:ascii="Times New Roman" w:hAnsi="Times New Roman"/>
          <w:sz w:val="24"/>
          <w:szCs w:val="24"/>
          <w:lang w:val="fr-FR"/>
        </w:rPr>
        <w:t> ;</w:t>
      </w:r>
    </w:p>
    <w:p w:rsidR="0062255A" w:rsidRDefault="008B0535" w:rsidP="000766F7">
      <w:pPr>
        <w:pStyle w:val="Paragraphedeliste"/>
        <w:numPr>
          <w:ilvl w:val="0"/>
          <w:numId w:val="3"/>
        </w:numPr>
        <w:jc w:val="both"/>
        <w:rPr>
          <w:rFonts w:ascii="Times New Roman" w:hAnsi="Times New Roman"/>
          <w:sz w:val="24"/>
          <w:szCs w:val="24"/>
          <w:lang w:val="fr-FR"/>
        </w:rPr>
      </w:pPr>
      <w:r>
        <w:rPr>
          <w:rFonts w:ascii="Times New Roman" w:hAnsi="Times New Roman"/>
          <w:sz w:val="24"/>
          <w:szCs w:val="24"/>
          <w:lang w:val="fr-FR"/>
        </w:rPr>
        <w:t>Fournir aux partenaires un cadre de référence pour un meilleur alignement de leurs actions d’appui à moyen terme au processus d</w:t>
      </w:r>
      <w:r w:rsidR="00936D32">
        <w:rPr>
          <w:rFonts w:ascii="Times New Roman" w:hAnsi="Times New Roman"/>
          <w:sz w:val="24"/>
          <w:szCs w:val="24"/>
          <w:lang w:val="fr-FR"/>
        </w:rPr>
        <w:t>’</w:t>
      </w:r>
      <w:r w:rsidR="00883A14">
        <w:rPr>
          <w:rFonts w:ascii="Times New Roman" w:hAnsi="Times New Roman"/>
          <w:sz w:val="24"/>
          <w:szCs w:val="24"/>
          <w:lang w:val="fr-FR"/>
        </w:rPr>
        <w:t xml:space="preserve">intégration </w:t>
      </w:r>
      <w:r w:rsidR="00936D32">
        <w:rPr>
          <w:rFonts w:ascii="Times New Roman" w:hAnsi="Times New Roman"/>
          <w:sz w:val="24"/>
          <w:szCs w:val="24"/>
          <w:lang w:val="fr-FR"/>
        </w:rPr>
        <w:t xml:space="preserve">et </w:t>
      </w:r>
      <w:r w:rsidR="00E5405E" w:rsidRPr="001E33C3">
        <w:rPr>
          <w:rFonts w:ascii="Times New Roman" w:hAnsi="Times New Roman"/>
          <w:sz w:val="24"/>
          <w:szCs w:val="24"/>
          <w:lang w:val="fr-FR"/>
        </w:rPr>
        <w:t xml:space="preserve">aux </w:t>
      </w:r>
      <w:r w:rsidR="00936D32">
        <w:rPr>
          <w:rFonts w:ascii="Times New Roman" w:hAnsi="Times New Roman"/>
          <w:sz w:val="24"/>
          <w:szCs w:val="24"/>
          <w:lang w:val="fr-FR"/>
        </w:rPr>
        <w:t xml:space="preserve">autres initiatives </w:t>
      </w:r>
      <w:r w:rsidR="00E77D94">
        <w:rPr>
          <w:rFonts w:ascii="Times New Roman" w:hAnsi="Times New Roman"/>
          <w:sz w:val="24"/>
          <w:szCs w:val="24"/>
          <w:lang w:val="fr-FR"/>
        </w:rPr>
        <w:t xml:space="preserve">de portée </w:t>
      </w:r>
      <w:r w:rsidR="00936D32">
        <w:rPr>
          <w:rFonts w:ascii="Times New Roman" w:hAnsi="Times New Roman"/>
          <w:sz w:val="24"/>
          <w:szCs w:val="24"/>
          <w:lang w:val="fr-FR"/>
        </w:rPr>
        <w:t>sous-régionale</w:t>
      </w:r>
      <w:r w:rsidR="0062255A">
        <w:rPr>
          <w:rFonts w:ascii="Times New Roman" w:hAnsi="Times New Roman"/>
          <w:sz w:val="24"/>
          <w:szCs w:val="24"/>
          <w:lang w:val="fr-FR"/>
        </w:rPr>
        <w:t>.</w:t>
      </w:r>
    </w:p>
    <w:p w:rsidR="000766F7" w:rsidRPr="001E33C3" w:rsidRDefault="000766F7" w:rsidP="001255BC">
      <w:pPr>
        <w:pStyle w:val="Paragraphedeliste"/>
        <w:jc w:val="both"/>
        <w:rPr>
          <w:rFonts w:ascii="Times New Roman" w:hAnsi="Times New Roman"/>
          <w:sz w:val="24"/>
          <w:szCs w:val="24"/>
          <w:lang w:val="fr-FR"/>
        </w:rPr>
      </w:pPr>
    </w:p>
    <w:p w:rsidR="00081BB7" w:rsidRPr="008E10A9" w:rsidRDefault="001C3050" w:rsidP="008E10A9">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sidRPr="008E10A9">
        <w:rPr>
          <w:rFonts w:ascii="Cambria" w:hAnsi="Cambria" w:cs="Arial"/>
          <w:b/>
          <w:bCs/>
          <w:color w:val="365F91" w:themeColor="accent1" w:themeShade="BF"/>
          <w:sz w:val="28"/>
          <w:szCs w:val="28"/>
          <w:lang w:val="fr-FR"/>
        </w:rPr>
        <w:t>Participation</w:t>
      </w:r>
    </w:p>
    <w:p w:rsidR="008E10A9" w:rsidRPr="008E10A9" w:rsidRDefault="008E10A9" w:rsidP="008E10A9">
      <w:pPr>
        <w:shd w:val="clear" w:color="auto" w:fill="1F497D" w:themeFill="text2"/>
        <w:jc w:val="both"/>
        <w:rPr>
          <w:sz w:val="10"/>
          <w:szCs w:val="10"/>
          <w:lang w:val="fr-FR"/>
        </w:rPr>
      </w:pPr>
    </w:p>
    <w:p w:rsidR="003D5B18" w:rsidRDefault="005550DB" w:rsidP="008E10A9">
      <w:pPr>
        <w:spacing w:before="360" w:after="240"/>
        <w:jc w:val="both"/>
        <w:rPr>
          <w:lang w:val="fr-FR"/>
        </w:rPr>
      </w:pPr>
      <w:r w:rsidRPr="00E5405E">
        <w:rPr>
          <w:lang w:val="fr-FR"/>
        </w:rPr>
        <w:t>Seront invités à la réunion:</w:t>
      </w:r>
      <w:bookmarkStart w:id="4" w:name="_GoBack"/>
      <w:bookmarkEnd w:id="4"/>
    </w:p>
    <w:p w:rsidR="00E77D94" w:rsidRDefault="00E77D94" w:rsidP="005550DB">
      <w:pPr>
        <w:pStyle w:val="Paragraphedeliste"/>
        <w:numPr>
          <w:ilvl w:val="0"/>
          <w:numId w:val="2"/>
        </w:numPr>
        <w:jc w:val="both"/>
        <w:rPr>
          <w:rFonts w:ascii="Times New Roman" w:hAnsi="Times New Roman"/>
          <w:sz w:val="24"/>
          <w:szCs w:val="24"/>
          <w:lang w:val="fr-FR"/>
        </w:rPr>
      </w:pPr>
      <w:r w:rsidRPr="00E5405E">
        <w:rPr>
          <w:rFonts w:ascii="Times New Roman" w:hAnsi="Times New Roman"/>
          <w:sz w:val="24"/>
          <w:szCs w:val="24"/>
          <w:lang w:val="fr-FR"/>
        </w:rPr>
        <w:t>L</w:t>
      </w:r>
      <w:r w:rsidR="005550DB" w:rsidRPr="00E5405E">
        <w:rPr>
          <w:rFonts w:ascii="Times New Roman" w:hAnsi="Times New Roman"/>
          <w:sz w:val="24"/>
          <w:szCs w:val="24"/>
          <w:lang w:val="fr-FR"/>
        </w:rPr>
        <w:t>e</w:t>
      </w:r>
      <w:r>
        <w:rPr>
          <w:rFonts w:ascii="Times New Roman" w:hAnsi="Times New Roman"/>
          <w:sz w:val="24"/>
          <w:szCs w:val="24"/>
          <w:lang w:val="fr-FR"/>
        </w:rPr>
        <w:t xml:space="preserve"> Secrétariat général de l’UMA ;</w:t>
      </w:r>
    </w:p>
    <w:p w:rsidR="005550DB" w:rsidRDefault="00E77D94" w:rsidP="005550DB">
      <w:pPr>
        <w:pStyle w:val="Paragraphedeliste"/>
        <w:numPr>
          <w:ilvl w:val="0"/>
          <w:numId w:val="2"/>
        </w:numPr>
        <w:jc w:val="both"/>
        <w:rPr>
          <w:rFonts w:ascii="Times New Roman" w:hAnsi="Times New Roman"/>
          <w:sz w:val="24"/>
          <w:szCs w:val="24"/>
          <w:lang w:val="fr-FR"/>
        </w:rPr>
      </w:pPr>
      <w:r>
        <w:rPr>
          <w:rFonts w:ascii="Times New Roman" w:hAnsi="Times New Roman"/>
          <w:sz w:val="24"/>
          <w:szCs w:val="24"/>
          <w:lang w:val="fr-FR"/>
        </w:rPr>
        <w:t>les organismes spécialisés ou affiliés à l’UMA</w:t>
      </w:r>
      <w:r w:rsidR="005550DB" w:rsidRPr="00E5405E">
        <w:rPr>
          <w:rFonts w:ascii="Times New Roman" w:hAnsi="Times New Roman"/>
          <w:sz w:val="24"/>
          <w:szCs w:val="24"/>
          <w:lang w:val="fr-FR"/>
        </w:rPr>
        <w:t>;</w:t>
      </w:r>
    </w:p>
    <w:p w:rsidR="00936D32" w:rsidRPr="00E5405E" w:rsidRDefault="00936D32" w:rsidP="005550DB">
      <w:pPr>
        <w:pStyle w:val="Paragraphedeliste"/>
        <w:numPr>
          <w:ilvl w:val="0"/>
          <w:numId w:val="2"/>
        </w:numPr>
        <w:jc w:val="both"/>
        <w:rPr>
          <w:rFonts w:ascii="Times New Roman" w:hAnsi="Times New Roman"/>
          <w:sz w:val="24"/>
          <w:szCs w:val="24"/>
          <w:lang w:val="fr-FR"/>
        </w:rPr>
      </w:pPr>
      <w:r>
        <w:rPr>
          <w:rFonts w:ascii="Times New Roman" w:hAnsi="Times New Roman"/>
          <w:sz w:val="24"/>
          <w:szCs w:val="24"/>
          <w:lang w:val="fr-FR"/>
        </w:rPr>
        <w:t xml:space="preserve">les </w:t>
      </w:r>
      <w:r w:rsidR="00E77D94">
        <w:rPr>
          <w:rFonts w:ascii="Times New Roman" w:hAnsi="Times New Roman"/>
          <w:sz w:val="24"/>
          <w:szCs w:val="24"/>
          <w:lang w:val="fr-FR"/>
        </w:rPr>
        <w:t xml:space="preserve">Organisations </w:t>
      </w:r>
      <w:r w:rsidR="009866C9">
        <w:rPr>
          <w:rFonts w:ascii="Times New Roman" w:hAnsi="Times New Roman"/>
          <w:sz w:val="24"/>
          <w:szCs w:val="24"/>
          <w:lang w:val="fr-FR"/>
        </w:rPr>
        <w:t>intergouvernementales</w:t>
      </w:r>
      <w:r w:rsidR="00E77D94">
        <w:rPr>
          <w:rFonts w:ascii="Times New Roman" w:hAnsi="Times New Roman"/>
          <w:sz w:val="24"/>
          <w:szCs w:val="24"/>
          <w:lang w:val="fr-FR"/>
        </w:rPr>
        <w:t xml:space="preserve"> (</w:t>
      </w:r>
      <w:proofErr w:type="spellStart"/>
      <w:r w:rsidR="00E77D94">
        <w:rPr>
          <w:rFonts w:ascii="Times New Roman" w:hAnsi="Times New Roman"/>
          <w:sz w:val="24"/>
          <w:szCs w:val="24"/>
          <w:lang w:val="fr-FR"/>
        </w:rPr>
        <w:t>OIGs</w:t>
      </w:r>
      <w:proofErr w:type="spellEnd"/>
      <w:r w:rsidR="00E77D94">
        <w:rPr>
          <w:rFonts w:ascii="Times New Roman" w:hAnsi="Times New Roman"/>
          <w:sz w:val="24"/>
          <w:szCs w:val="24"/>
          <w:lang w:val="fr-FR"/>
        </w:rPr>
        <w:t>) opérant en Afrique du Nord</w:t>
      </w:r>
      <w:r w:rsidR="008E10A9">
        <w:rPr>
          <w:rFonts w:ascii="Times New Roman" w:hAnsi="Times New Roman"/>
          <w:sz w:val="24"/>
          <w:szCs w:val="24"/>
          <w:lang w:val="fr-FR"/>
        </w:rPr>
        <w:t>.</w:t>
      </w:r>
    </w:p>
    <w:p w:rsidR="00E4151A" w:rsidRPr="008E10A9" w:rsidRDefault="00E4151A" w:rsidP="00D67B4C">
      <w:pPr>
        <w:jc w:val="both"/>
        <w:rPr>
          <w:sz w:val="18"/>
          <w:szCs w:val="18"/>
          <w:lang w:val="fr-FR"/>
        </w:rPr>
      </w:pPr>
    </w:p>
    <w:p w:rsidR="00E4151A" w:rsidRPr="008E10A9" w:rsidRDefault="008E10A9" w:rsidP="008E10A9">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Pr>
          <w:rFonts w:ascii="Cambria" w:hAnsi="Cambria" w:cs="Arial"/>
          <w:b/>
          <w:bCs/>
          <w:color w:val="365F91" w:themeColor="accent1" w:themeShade="BF"/>
          <w:sz w:val="28"/>
          <w:szCs w:val="28"/>
          <w:lang w:val="fr-FR"/>
        </w:rPr>
        <w:t xml:space="preserve">  </w:t>
      </w:r>
      <w:r w:rsidR="001C3050" w:rsidRPr="008E10A9">
        <w:rPr>
          <w:rFonts w:ascii="Cambria" w:hAnsi="Cambria" w:cs="Arial"/>
          <w:b/>
          <w:bCs/>
          <w:color w:val="365F91" w:themeColor="accent1" w:themeShade="BF"/>
          <w:sz w:val="28"/>
          <w:szCs w:val="28"/>
          <w:lang w:val="fr-FR"/>
        </w:rPr>
        <w:t>Date et lieu</w:t>
      </w:r>
    </w:p>
    <w:p w:rsidR="008E10A9" w:rsidRPr="008E10A9" w:rsidRDefault="008E10A9" w:rsidP="008E10A9">
      <w:pPr>
        <w:shd w:val="clear" w:color="auto" w:fill="1F497D" w:themeFill="text2"/>
        <w:jc w:val="both"/>
        <w:rPr>
          <w:sz w:val="10"/>
          <w:szCs w:val="10"/>
          <w:lang w:val="fr-FR"/>
        </w:rPr>
      </w:pPr>
    </w:p>
    <w:p w:rsidR="005550DB" w:rsidRDefault="005550DB" w:rsidP="008E10A9">
      <w:pPr>
        <w:spacing w:before="360"/>
        <w:rPr>
          <w:lang w:val="fr-FR"/>
        </w:rPr>
      </w:pPr>
      <w:r>
        <w:rPr>
          <w:lang w:val="fr-FR"/>
        </w:rPr>
        <w:t xml:space="preserve">La </w:t>
      </w:r>
      <w:r w:rsidR="00F00B29">
        <w:rPr>
          <w:lang w:val="fr-FR"/>
        </w:rPr>
        <w:t xml:space="preserve">réunion </w:t>
      </w:r>
      <w:r>
        <w:rPr>
          <w:lang w:val="fr-FR"/>
        </w:rPr>
        <w:t>se tiendra à Rabat (Royaume du Maroc) le</w:t>
      </w:r>
      <w:r w:rsidR="00643784">
        <w:rPr>
          <w:lang w:val="fr-FR"/>
        </w:rPr>
        <w:t xml:space="preserve"> 15 janvier 2013</w:t>
      </w:r>
      <w:r w:rsidR="00C1591B">
        <w:rPr>
          <w:lang w:val="fr-FR"/>
        </w:rPr>
        <w:t>.</w:t>
      </w:r>
    </w:p>
    <w:p w:rsidR="00D44926" w:rsidRDefault="00D44926">
      <w:pPr>
        <w:rPr>
          <w:lang w:val="fr-FR"/>
        </w:rPr>
      </w:pPr>
    </w:p>
    <w:p w:rsidR="00D44926" w:rsidRPr="008E10A9" w:rsidRDefault="00D44926">
      <w:pPr>
        <w:rPr>
          <w:sz w:val="14"/>
          <w:szCs w:val="14"/>
          <w:lang w:val="fr-FR"/>
        </w:rPr>
      </w:pPr>
    </w:p>
    <w:p w:rsidR="000766F7" w:rsidRPr="008E10A9" w:rsidRDefault="008E10A9" w:rsidP="008E10A9">
      <w:pPr>
        <w:pStyle w:val="Paragraphedeliste"/>
        <w:numPr>
          <w:ilvl w:val="0"/>
          <w:numId w:val="9"/>
        </w:numPr>
        <w:shd w:val="clear" w:color="auto" w:fill="B8CCE4" w:themeFill="accent1" w:themeFillTint="66"/>
        <w:spacing w:after="0"/>
        <w:ind w:left="567" w:hanging="567"/>
        <w:jc w:val="both"/>
        <w:textAlignment w:val="top"/>
        <w:rPr>
          <w:rFonts w:ascii="Cambria" w:hAnsi="Cambria" w:cs="Arial"/>
          <w:b/>
          <w:bCs/>
          <w:color w:val="365F91" w:themeColor="accent1" w:themeShade="BF"/>
          <w:sz w:val="28"/>
          <w:szCs w:val="28"/>
          <w:lang w:val="fr-FR"/>
        </w:rPr>
      </w:pPr>
      <w:r>
        <w:rPr>
          <w:rFonts w:ascii="Cambria" w:hAnsi="Cambria" w:cs="Arial"/>
          <w:b/>
          <w:bCs/>
          <w:color w:val="365F91" w:themeColor="accent1" w:themeShade="BF"/>
          <w:sz w:val="28"/>
          <w:szCs w:val="28"/>
          <w:lang w:val="fr-FR"/>
        </w:rPr>
        <w:t xml:space="preserve">   </w:t>
      </w:r>
      <w:proofErr w:type="gramStart"/>
      <w:r w:rsidR="001C3050" w:rsidRPr="008E10A9">
        <w:rPr>
          <w:rFonts w:ascii="Cambria" w:hAnsi="Cambria" w:cs="Arial"/>
          <w:b/>
          <w:bCs/>
          <w:color w:val="365F91" w:themeColor="accent1" w:themeShade="BF"/>
          <w:sz w:val="28"/>
          <w:szCs w:val="28"/>
          <w:lang w:val="fr-FR"/>
        </w:rPr>
        <w:t>Contact</w:t>
      </w:r>
      <w:r>
        <w:rPr>
          <w:rFonts w:ascii="Cambria" w:hAnsi="Cambria" w:cs="Arial"/>
          <w:b/>
          <w:bCs/>
          <w:color w:val="365F91" w:themeColor="accent1" w:themeShade="BF"/>
          <w:sz w:val="28"/>
          <w:szCs w:val="28"/>
          <w:lang w:val="fr-FR"/>
        </w:rPr>
        <w:t>e</w:t>
      </w:r>
      <w:r w:rsidR="001C3050" w:rsidRPr="008E10A9">
        <w:rPr>
          <w:rFonts w:ascii="Cambria" w:hAnsi="Cambria" w:cs="Arial"/>
          <w:b/>
          <w:bCs/>
          <w:color w:val="365F91" w:themeColor="accent1" w:themeShade="BF"/>
          <w:sz w:val="28"/>
          <w:szCs w:val="28"/>
          <w:lang w:val="fr-FR"/>
        </w:rPr>
        <w:t>s</w:t>
      </w:r>
      <w:proofErr w:type="gramEnd"/>
    </w:p>
    <w:p w:rsidR="008E10A9" w:rsidRPr="008E10A9" w:rsidRDefault="008E10A9" w:rsidP="008E10A9">
      <w:pPr>
        <w:shd w:val="clear" w:color="auto" w:fill="1F497D" w:themeFill="text2"/>
        <w:jc w:val="both"/>
        <w:rPr>
          <w:sz w:val="10"/>
          <w:szCs w:val="10"/>
          <w:lang w:val="fr-FR"/>
        </w:rPr>
      </w:pPr>
    </w:p>
    <w:p w:rsidR="000766F7" w:rsidRPr="008E10A9" w:rsidRDefault="000766F7" w:rsidP="008E10A9">
      <w:pPr>
        <w:spacing w:before="360"/>
        <w:rPr>
          <w:color w:val="1F497D" w:themeColor="text2"/>
          <w:lang w:val="fr-FR"/>
        </w:rPr>
      </w:pPr>
      <w:r w:rsidRPr="008E10A9">
        <w:rPr>
          <w:color w:val="1F497D" w:themeColor="text2"/>
          <w:lang w:val="fr-FR"/>
        </w:rPr>
        <w:t>Les informations relatives à la réunion pourront être obtenues auprès de :</w:t>
      </w:r>
    </w:p>
    <w:p w:rsidR="000766F7" w:rsidRPr="008E10A9" w:rsidRDefault="000766F7" w:rsidP="000766F7">
      <w:pPr>
        <w:rPr>
          <w:color w:val="1F497D" w:themeColor="text2"/>
          <w:lang w:val="fr-FR"/>
        </w:rPr>
      </w:pPr>
    </w:p>
    <w:p w:rsidR="000766F7" w:rsidRPr="008E10A9" w:rsidRDefault="000766F7" w:rsidP="000766F7">
      <w:pPr>
        <w:rPr>
          <w:color w:val="1F497D" w:themeColor="text2"/>
          <w:lang w:val="fr-FR"/>
        </w:rPr>
      </w:pPr>
      <w:r w:rsidRPr="008E10A9">
        <w:rPr>
          <w:color w:val="1F497D" w:themeColor="text2"/>
          <w:lang w:val="fr-FR"/>
        </w:rPr>
        <w:t>M. Abdoul Kane</w:t>
      </w:r>
    </w:p>
    <w:p w:rsidR="00004E11" w:rsidRPr="008E10A9" w:rsidRDefault="000766F7" w:rsidP="000766F7">
      <w:pPr>
        <w:rPr>
          <w:color w:val="1F497D" w:themeColor="text2"/>
          <w:lang w:val="fr-FR"/>
        </w:rPr>
      </w:pPr>
      <w:r w:rsidRPr="008E10A9">
        <w:rPr>
          <w:color w:val="1F497D" w:themeColor="text2"/>
          <w:lang w:val="fr-FR"/>
        </w:rPr>
        <w:t>Email adresse :</w:t>
      </w:r>
      <w:r w:rsidR="008E10A9" w:rsidRPr="008E10A9">
        <w:rPr>
          <w:color w:val="1F497D" w:themeColor="text2"/>
          <w:lang w:val="fr-FR"/>
        </w:rPr>
        <w:t xml:space="preserve"> </w:t>
      </w:r>
      <w:hyperlink r:id="rId10" w:history="1">
        <w:r w:rsidR="00004E11" w:rsidRPr="008E10A9">
          <w:rPr>
            <w:rStyle w:val="Lienhypertexte"/>
            <w:color w:val="1F497D" w:themeColor="text2"/>
            <w:lang w:val="fr-FR"/>
          </w:rPr>
          <w:t>akane@uneca.org</w:t>
        </w:r>
      </w:hyperlink>
    </w:p>
    <w:p w:rsidR="00004E11" w:rsidRPr="008E10A9" w:rsidRDefault="00004E11" w:rsidP="000766F7">
      <w:pPr>
        <w:rPr>
          <w:color w:val="1F497D" w:themeColor="text2"/>
          <w:lang w:val="fr-FR"/>
        </w:rPr>
      </w:pPr>
    </w:p>
    <w:p w:rsidR="00004E11" w:rsidRPr="008E10A9" w:rsidRDefault="00004E11" w:rsidP="008E10A9">
      <w:pPr>
        <w:spacing w:line="360" w:lineRule="auto"/>
        <w:rPr>
          <w:color w:val="1F497D" w:themeColor="text2"/>
          <w:lang w:val="fr-FR"/>
        </w:rPr>
      </w:pPr>
      <w:r w:rsidRPr="008E10A9">
        <w:rPr>
          <w:color w:val="1F497D" w:themeColor="text2"/>
          <w:lang w:val="fr-FR"/>
        </w:rPr>
        <w:t>Mme Naima Sahraoui</w:t>
      </w:r>
    </w:p>
    <w:p w:rsidR="00004E11" w:rsidRPr="008E10A9" w:rsidRDefault="00004E11" w:rsidP="008E10A9">
      <w:pPr>
        <w:spacing w:line="360" w:lineRule="auto"/>
        <w:rPr>
          <w:color w:val="1F497D" w:themeColor="text2"/>
          <w:lang w:val="fr-FR"/>
        </w:rPr>
      </w:pPr>
      <w:r w:rsidRPr="008E10A9">
        <w:rPr>
          <w:color w:val="1F497D" w:themeColor="text2"/>
          <w:lang w:val="fr-FR"/>
        </w:rPr>
        <w:t xml:space="preserve">Email adresse : </w:t>
      </w:r>
      <w:hyperlink r:id="rId11" w:history="1">
        <w:r w:rsidRPr="008E10A9">
          <w:rPr>
            <w:rStyle w:val="Lienhypertexte"/>
            <w:color w:val="1F497D" w:themeColor="text2"/>
            <w:lang w:val="fr-FR"/>
          </w:rPr>
          <w:t>nsahraoui@uneca.org</w:t>
        </w:r>
      </w:hyperlink>
    </w:p>
    <w:p w:rsidR="00081EEA" w:rsidRPr="008E10A9" w:rsidRDefault="00004E11" w:rsidP="008E10A9">
      <w:pPr>
        <w:spacing w:line="360" w:lineRule="auto"/>
        <w:rPr>
          <w:color w:val="1F497D" w:themeColor="text2"/>
          <w:lang w:val="fr-FR"/>
        </w:rPr>
      </w:pPr>
      <w:r w:rsidRPr="008E10A9">
        <w:rPr>
          <w:color w:val="1F497D" w:themeColor="text2"/>
          <w:lang w:val="fr-FR"/>
        </w:rPr>
        <w:t>Téléphone : 00 (212) 537 71 56 13 / 537 71 78 29</w:t>
      </w:r>
    </w:p>
    <w:sectPr w:rsidR="00081EEA" w:rsidRPr="008E10A9" w:rsidSect="00E14C18">
      <w:pgSz w:w="11906" w:h="16838"/>
      <w:pgMar w:top="993" w:right="1418" w:bottom="1418" w:left="1418" w:header="709" w:footer="402"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0BD" w:rsidRDefault="005A70BD" w:rsidP="00D67B4C">
      <w:r>
        <w:separator/>
      </w:r>
    </w:p>
  </w:endnote>
  <w:endnote w:type="continuationSeparator" w:id="0">
    <w:p w:rsidR="005A70BD" w:rsidRDefault="005A70BD" w:rsidP="00D67B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Narrow">
    <w:panose1 w:val="020B0506020202030204"/>
    <w:charset w:val="00"/>
    <w:family w:val="swiss"/>
    <w:pitch w:val="variable"/>
    <w:sig w:usb0="00000287" w:usb1="00000800" w:usb2="00000000" w:usb3="00000000" w:csb0="0000009F" w:csb1="00000000"/>
  </w:font>
  <w:font w:name="AJens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1609"/>
      <w:docPartObj>
        <w:docPartGallery w:val="Page Numbers (Bottom of Page)"/>
        <w:docPartUnique/>
      </w:docPartObj>
    </w:sdtPr>
    <w:sdtContent>
      <w:p w:rsidR="00E14C18" w:rsidRDefault="00E14C18">
        <w:pPr>
          <w:pStyle w:val="Pieddepage"/>
          <w:jc w:val="center"/>
        </w:pPr>
        <w:fldSimple w:instr=" PAGE   \* MERGEFORMAT ">
          <w:r w:rsidR="009231B6">
            <w:rPr>
              <w:noProof/>
            </w:rPr>
            <w:t>7</w:t>
          </w:r>
        </w:fldSimple>
      </w:p>
    </w:sdtContent>
  </w:sdt>
  <w:p w:rsidR="00E14C18" w:rsidRDefault="00E14C1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0BD" w:rsidRDefault="005A70BD" w:rsidP="00D67B4C">
      <w:r>
        <w:separator/>
      </w:r>
    </w:p>
  </w:footnote>
  <w:footnote w:type="continuationSeparator" w:id="0">
    <w:p w:rsidR="005A70BD" w:rsidRDefault="005A70BD" w:rsidP="00D67B4C">
      <w:r>
        <w:continuationSeparator/>
      </w:r>
    </w:p>
  </w:footnote>
  <w:footnote w:id="1">
    <w:p w:rsidR="00E77D94" w:rsidRPr="002B5D16" w:rsidRDefault="00E77D94" w:rsidP="007A0F28">
      <w:pPr>
        <w:pStyle w:val="Notedebasdepage"/>
        <w:rPr>
          <w:lang w:val="fr-FR"/>
        </w:rPr>
      </w:pPr>
      <w:r>
        <w:rPr>
          <w:rStyle w:val="Appelnotedebasdep"/>
        </w:rPr>
        <w:footnoteRef/>
      </w:r>
      <w:r w:rsidRPr="002B5D16">
        <w:rPr>
          <w:lang w:val="fr-FR"/>
        </w:rPr>
        <w:t xml:space="preserve"> GIEC, 4</w:t>
      </w:r>
      <w:r w:rsidRPr="002B5D16">
        <w:rPr>
          <w:vertAlign w:val="superscript"/>
          <w:lang w:val="fr-FR"/>
        </w:rPr>
        <w:t>ème</w:t>
      </w:r>
      <w:r w:rsidRPr="002B5D16">
        <w:rPr>
          <w:lang w:val="fr-FR"/>
        </w:rPr>
        <w:t xml:space="preserve"> rapport (2007).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C154E"/>
    <w:multiLevelType w:val="hybridMultilevel"/>
    <w:tmpl w:val="262CD59C"/>
    <w:lvl w:ilvl="0" w:tplc="2B025A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C1C205B"/>
    <w:multiLevelType w:val="hybridMultilevel"/>
    <w:tmpl w:val="13A064C2"/>
    <w:lvl w:ilvl="0" w:tplc="F66AF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C46E4"/>
    <w:multiLevelType w:val="hybridMultilevel"/>
    <w:tmpl w:val="48ECD734"/>
    <w:lvl w:ilvl="0" w:tplc="D56E8A5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8777177"/>
    <w:multiLevelType w:val="hybridMultilevel"/>
    <w:tmpl w:val="D2B4E8EA"/>
    <w:lvl w:ilvl="0" w:tplc="15E2CD0C">
      <w:start w:val="1"/>
      <w:numFmt w:val="bullet"/>
      <w:lvlText w:val=""/>
      <w:lvlJc w:val="left"/>
      <w:pPr>
        <w:ind w:left="720" w:hanging="360"/>
      </w:pPr>
      <w:rPr>
        <w:rFonts w:ascii="Symbol" w:hAnsi="Symbol" w:hint="default"/>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42C7D37"/>
    <w:multiLevelType w:val="hybridMultilevel"/>
    <w:tmpl w:val="97E6FBAC"/>
    <w:lvl w:ilvl="0" w:tplc="7A4664A0">
      <w:start w:val="1"/>
      <w:numFmt w:val="decimal"/>
      <w:pStyle w:val="Corpsdetexte"/>
      <w:lvlText w:val="%1."/>
      <w:lvlJc w:val="left"/>
      <w:pPr>
        <w:tabs>
          <w:tab w:val="num" w:pos="360"/>
        </w:tabs>
        <w:ind w:left="360" w:hanging="360"/>
      </w:pPr>
      <w:rPr>
        <w:rFonts w:cs="Times New Roman"/>
        <w:b w:val="0"/>
        <w:bCs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C786A16"/>
    <w:multiLevelType w:val="hybridMultilevel"/>
    <w:tmpl w:val="48ECD734"/>
    <w:lvl w:ilvl="0" w:tplc="D56E8A5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75D4C1A"/>
    <w:multiLevelType w:val="hybridMultilevel"/>
    <w:tmpl w:val="A0C06CA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5E7A3901"/>
    <w:multiLevelType w:val="hybridMultilevel"/>
    <w:tmpl w:val="CC8481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0106FDE"/>
    <w:multiLevelType w:val="hybridMultilevel"/>
    <w:tmpl w:val="07B60D36"/>
    <w:lvl w:ilvl="0" w:tplc="45E4B9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4"/>
  </w:num>
  <w:num w:numId="6">
    <w:abstractNumId w:val="0"/>
  </w:num>
  <w:num w:numId="7">
    <w:abstractNumId w:val="7"/>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D67B4C"/>
    <w:rsid w:val="00000720"/>
    <w:rsid w:val="00004E11"/>
    <w:rsid w:val="00013EFE"/>
    <w:rsid w:val="000143E2"/>
    <w:rsid w:val="00016292"/>
    <w:rsid w:val="000163C0"/>
    <w:rsid w:val="00020ED2"/>
    <w:rsid w:val="00033318"/>
    <w:rsid w:val="000335BC"/>
    <w:rsid w:val="00036D2F"/>
    <w:rsid w:val="00040698"/>
    <w:rsid w:val="00042138"/>
    <w:rsid w:val="00047057"/>
    <w:rsid w:val="00060476"/>
    <w:rsid w:val="00067323"/>
    <w:rsid w:val="00072606"/>
    <w:rsid w:val="000738A6"/>
    <w:rsid w:val="0007503D"/>
    <w:rsid w:val="00075CF7"/>
    <w:rsid w:val="000766F7"/>
    <w:rsid w:val="00081BB7"/>
    <w:rsid w:val="00081EEA"/>
    <w:rsid w:val="00082CC1"/>
    <w:rsid w:val="000901A3"/>
    <w:rsid w:val="00091524"/>
    <w:rsid w:val="00093C1F"/>
    <w:rsid w:val="000C357D"/>
    <w:rsid w:val="000D0DB7"/>
    <w:rsid w:val="000D1099"/>
    <w:rsid w:val="000D1300"/>
    <w:rsid w:val="000D3776"/>
    <w:rsid w:val="000D505F"/>
    <w:rsid w:val="000F1E3F"/>
    <w:rsid w:val="000F29C2"/>
    <w:rsid w:val="001255BC"/>
    <w:rsid w:val="001304E6"/>
    <w:rsid w:val="001306C0"/>
    <w:rsid w:val="00136D70"/>
    <w:rsid w:val="00137222"/>
    <w:rsid w:val="00143310"/>
    <w:rsid w:val="001447D5"/>
    <w:rsid w:val="001457EE"/>
    <w:rsid w:val="00146BE0"/>
    <w:rsid w:val="0014753F"/>
    <w:rsid w:val="00147821"/>
    <w:rsid w:val="00152FAA"/>
    <w:rsid w:val="00155BCF"/>
    <w:rsid w:val="001706EA"/>
    <w:rsid w:val="00173652"/>
    <w:rsid w:val="00175003"/>
    <w:rsid w:val="00183E3F"/>
    <w:rsid w:val="001A0889"/>
    <w:rsid w:val="001A60D5"/>
    <w:rsid w:val="001A63B6"/>
    <w:rsid w:val="001B02DE"/>
    <w:rsid w:val="001C0533"/>
    <w:rsid w:val="001C1924"/>
    <w:rsid w:val="001C3050"/>
    <w:rsid w:val="001C3FF5"/>
    <w:rsid w:val="001D0AC0"/>
    <w:rsid w:val="001D2194"/>
    <w:rsid w:val="001E107D"/>
    <w:rsid w:val="001E33C3"/>
    <w:rsid w:val="002029C7"/>
    <w:rsid w:val="00206C28"/>
    <w:rsid w:val="0022023C"/>
    <w:rsid w:val="00223066"/>
    <w:rsid w:val="00235354"/>
    <w:rsid w:val="00237370"/>
    <w:rsid w:val="00240787"/>
    <w:rsid w:val="00256C93"/>
    <w:rsid w:val="00273FB4"/>
    <w:rsid w:val="00275540"/>
    <w:rsid w:val="00284E26"/>
    <w:rsid w:val="00294EAC"/>
    <w:rsid w:val="00296186"/>
    <w:rsid w:val="00296B48"/>
    <w:rsid w:val="002976BD"/>
    <w:rsid w:val="002A6680"/>
    <w:rsid w:val="002B05FE"/>
    <w:rsid w:val="002B449A"/>
    <w:rsid w:val="002C0263"/>
    <w:rsid w:val="002C3719"/>
    <w:rsid w:val="002C64C8"/>
    <w:rsid w:val="002F1AC2"/>
    <w:rsid w:val="00301358"/>
    <w:rsid w:val="0031154D"/>
    <w:rsid w:val="00311AA6"/>
    <w:rsid w:val="0031602A"/>
    <w:rsid w:val="00322678"/>
    <w:rsid w:val="0032463F"/>
    <w:rsid w:val="00335444"/>
    <w:rsid w:val="00342792"/>
    <w:rsid w:val="00344EA4"/>
    <w:rsid w:val="003456C1"/>
    <w:rsid w:val="00356950"/>
    <w:rsid w:val="003718DF"/>
    <w:rsid w:val="00382A12"/>
    <w:rsid w:val="0038688F"/>
    <w:rsid w:val="003917C7"/>
    <w:rsid w:val="003A0868"/>
    <w:rsid w:val="003A200F"/>
    <w:rsid w:val="003A262D"/>
    <w:rsid w:val="003B15A5"/>
    <w:rsid w:val="003B3FC8"/>
    <w:rsid w:val="003B450D"/>
    <w:rsid w:val="003C15D9"/>
    <w:rsid w:val="003C7162"/>
    <w:rsid w:val="003D5B18"/>
    <w:rsid w:val="003D728B"/>
    <w:rsid w:val="003E04D8"/>
    <w:rsid w:val="003E5E6E"/>
    <w:rsid w:val="003F545E"/>
    <w:rsid w:val="00411520"/>
    <w:rsid w:val="004212CA"/>
    <w:rsid w:val="00425203"/>
    <w:rsid w:val="00431677"/>
    <w:rsid w:val="00431BBD"/>
    <w:rsid w:val="00436467"/>
    <w:rsid w:val="00444E5B"/>
    <w:rsid w:val="00450DCD"/>
    <w:rsid w:val="00451FAD"/>
    <w:rsid w:val="00454948"/>
    <w:rsid w:val="00461FA5"/>
    <w:rsid w:val="00464AF6"/>
    <w:rsid w:val="00472F8D"/>
    <w:rsid w:val="00492C53"/>
    <w:rsid w:val="00496AC7"/>
    <w:rsid w:val="004A47D4"/>
    <w:rsid w:val="004B5D38"/>
    <w:rsid w:val="004B6C32"/>
    <w:rsid w:val="004B7CB5"/>
    <w:rsid w:val="004C1D97"/>
    <w:rsid w:val="004C324E"/>
    <w:rsid w:val="004D1485"/>
    <w:rsid w:val="004D1F62"/>
    <w:rsid w:val="004E3CDC"/>
    <w:rsid w:val="004E75C4"/>
    <w:rsid w:val="004F10DD"/>
    <w:rsid w:val="004F1F07"/>
    <w:rsid w:val="00500469"/>
    <w:rsid w:val="005042CF"/>
    <w:rsid w:val="00527017"/>
    <w:rsid w:val="00544807"/>
    <w:rsid w:val="00552DA5"/>
    <w:rsid w:val="005550DB"/>
    <w:rsid w:val="00563F75"/>
    <w:rsid w:val="00565D46"/>
    <w:rsid w:val="005669AA"/>
    <w:rsid w:val="00566A58"/>
    <w:rsid w:val="0057710E"/>
    <w:rsid w:val="0058064D"/>
    <w:rsid w:val="00585F00"/>
    <w:rsid w:val="00592820"/>
    <w:rsid w:val="005A5036"/>
    <w:rsid w:val="005A70BD"/>
    <w:rsid w:val="005B352E"/>
    <w:rsid w:val="005C1DA5"/>
    <w:rsid w:val="005D35E2"/>
    <w:rsid w:val="005D6426"/>
    <w:rsid w:val="005E5FC7"/>
    <w:rsid w:val="005E669D"/>
    <w:rsid w:val="005F0E3D"/>
    <w:rsid w:val="00606D77"/>
    <w:rsid w:val="00612C77"/>
    <w:rsid w:val="00617375"/>
    <w:rsid w:val="006200BD"/>
    <w:rsid w:val="0062220A"/>
    <w:rsid w:val="0062255A"/>
    <w:rsid w:val="00623E1D"/>
    <w:rsid w:val="0063061F"/>
    <w:rsid w:val="006338A3"/>
    <w:rsid w:val="00636F6F"/>
    <w:rsid w:val="00641173"/>
    <w:rsid w:val="00643784"/>
    <w:rsid w:val="0065284C"/>
    <w:rsid w:val="00656508"/>
    <w:rsid w:val="00662794"/>
    <w:rsid w:val="006808AC"/>
    <w:rsid w:val="00687E64"/>
    <w:rsid w:val="006A2163"/>
    <w:rsid w:val="006B08AA"/>
    <w:rsid w:val="006E6D59"/>
    <w:rsid w:val="007049E9"/>
    <w:rsid w:val="00704A4F"/>
    <w:rsid w:val="00727019"/>
    <w:rsid w:val="007367B9"/>
    <w:rsid w:val="00755458"/>
    <w:rsid w:val="00770AF5"/>
    <w:rsid w:val="00773C5E"/>
    <w:rsid w:val="00782928"/>
    <w:rsid w:val="00786AD5"/>
    <w:rsid w:val="007930C5"/>
    <w:rsid w:val="007A0F28"/>
    <w:rsid w:val="007A3D3A"/>
    <w:rsid w:val="007A65BC"/>
    <w:rsid w:val="007F2714"/>
    <w:rsid w:val="008112E2"/>
    <w:rsid w:val="008221C6"/>
    <w:rsid w:val="00847100"/>
    <w:rsid w:val="00854D6A"/>
    <w:rsid w:val="00855583"/>
    <w:rsid w:val="00856B11"/>
    <w:rsid w:val="008617E0"/>
    <w:rsid w:val="008710F8"/>
    <w:rsid w:val="008815DB"/>
    <w:rsid w:val="00883A14"/>
    <w:rsid w:val="008866A5"/>
    <w:rsid w:val="008A04F5"/>
    <w:rsid w:val="008B0535"/>
    <w:rsid w:val="008B177F"/>
    <w:rsid w:val="008B5AFC"/>
    <w:rsid w:val="008C01E9"/>
    <w:rsid w:val="008C135B"/>
    <w:rsid w:val="008C3135"/>
    <w:rsid w:val="008C42E0"/>
    <w:rsid w:val="008C559A"/>
    <w:rsid w:val="008D37F1"/>
    <w:rsid w:val="008D3912"/>
    <w:rsid w:val="008D701A"/>
    <w:rsid w:val="008E10A9"/>
    <w:rsid w:val="008E139F"/>
    <w:rsid w:val="008E58EC"/>
    <w:rsid w:val="008F0931"/>
    <w:rsid w:val="00904852"/>
    <w:rsid w:val="00912811"/>
    <w:rsid w:val="00917B96"/>
    <w:rsid w:val="009231B6"/>
    <w:rsid w:val="00934881"/>
    <w:rsid w:val="00936D32"/>
    <w:rsid w:val="009460E8"/>
    <w:rsid w:val="00951ED9"/>
    <w:rsid w:val="009619CE"/>
    <w:rsid w:val="0097141D"/>
    <w:rsid w:val="0097410F"/>
    <w:rsid w:val="00981296"/>
    <w:rsid w:val="00981705"/>
    <w:rsid w:val="009866C9"/>
    <w:rsid w:val="00987B3A"/>
    <w:rsid w:val="00990608"/>
    <w:rsid w:val="009918FA"/>
    <w:rsid w:val="009B000C"/>
    <w:rsid w:val="009B00CC"/>
    <w:rsid w:val="009B23E8"/>
    <w:rsid w:val="009B2D66"/>
    <w:rsid w:val="009B6A80"/>
    <w:rsid w:val="009B75E5"/>
    <w:rsid w:val="009B79F6"/>
    <w:rsid w:val="009B7DEA"/>
    <w:rsid w:val="009D3860"/>
    <w:rsid w:val="009E0308"/>
    <w:rsid w:val="009E46CE"/>
    <w:rsid w:val="009F2EB5"/>
    <w:rsid w:val="00A00EC7"/>
    <w:rsid w:val="00A115E1"/>
    <w:rsid w:val="00A156EC"/>
    <w:rsid w:val="00A16F46"/>
    <w:rsid w:val="00A22211"/>
    <w:rsid w:val="00A44971"/>
    <w:rsid w:val="00A45041"/>
    <w:rsid w:val="00A5112E"/>
    <w:rsid w:val="00A54860"/>
    <w:rsid w:val="00A552CA"/>
    <w:rsid w:val="00A558FF"/>
    <w:rsid w:val="00A579B8"/>
    <w:rsid w:val="00A63007"/>
    <w:rsid w:val="00A8173F"/>
    <w:rsid w:val="00A96773"/>
    <w:rsid w:val="00AA6747"/>
    <w:rsid w:val="00AB03C8"/>
    <w:rsid w:val="00AB1E29"/>
    <w:rsid w:val="00AB3A57"/>
    <w:rsid w:val="00AE42BD"/>
    <w:rsid w:val="00AF25D8"/>
    <w:rsid w:val="00AF6290"/>
    <w:rsid w:val="00AF7121"/>
    <w:rsid w:val="00B13CAD"/>
    <w:rsid w:val="00B21B16"/>
    <w:rsid w:val="00B27AA9"/>
    <w:rsid w:val="00B33BFD"/>
    <w:rsid w:val="00B36238"/>
    <w:rsid w:val="00B3784F"/>
    <w:rsid w:val="00B46416"/>
    <w:rsid w:val="00B46856"/>
    <w:rsid w:val="00B577F8"/>
    <w:rsid w:val="00B73A3E"/>
    <w:rsid w:val="00B810B2"/>
    <w:rsid w:val="00B83D07"/>
    <w:rsid w:val="00BA0CA5"/>
    <w:rsid w:val="00BB1884"/>
    <w:rsid w:val="00BB7154"/>
    <w:rsid w:val="00BB7A43"/>
    <w:rsid w:val="00BC535A"/>
    <w:rsid w:val="00BE1CD8"/>
    <w:rsid w:val="00BE797B"/>
    <w:rsid w:val="00BF12EC"/>
    <w:rsid w:val="00BF280D"/>
    <w:rsid w:val="00BF4DFB"/>
    <w:rsid w:val="00C01DFB"/>
    <w:rsid w:val="00C05CDA"/>
    <w:rsid w:val="00C063E7"/>
    <w:rsid w:val="00C1591B"/>
    <w:rsid w:val="00C17492"/>
    <w:rsid w:val="00C225B8"/>
    <w:rsid w:val="00C64164"/>
    <w:rsid w:val="00C7059D"/>
    <w:rsid w:val="00C72B03"/>
    <w:rsid w:val="00C82247"/>
    <w:rsid w:val="00C86002"/>
    <w:rsid w:val="00C9159E"/>
    <w:rsid w:val="00C957A7"/>
    <w:rsid w:val="00CA72DE"/>
    <w:rsid w:val="00CA7E14"/>
    <w:rsid w:val="00CB5554"/>
    <w:rsid w:val="00CB61D4"/>
    <w:rsid w:val="00CB6AA4"/>
    <w:rsid w:val="00CC029E"/>
    <w:rsid w:val="00CC56BC"/>
    <w:rsid w:val="00CC6A47"/>
    <w:rsid w:val="00CC75A4"/>
    <w:rsid w:val="00CE6E7A"/>
    <w:rsid w:val="00CF2A78"/>
    <w:rsid w:val="00D0021A"/>
    <w:rsid w:val="00D027CA"/>
    <w:rsid w:val="00D17897"/>
    <w:rsid w:val="00D24528"/>
    <w:rsid w:val="00D257B1"/>
    <w:rsid w:val="00D32776"/>
    <w:rsid w:val="00D3366F"/>
    <w:rsid w:val="00D37ECF"/>
    <w:rsid w:val="00D448EC"/>
    <w:rsid w:val="00D44926"/>
    <w:rsid w:val="00D4709F"/>
    <w:rsid w:val="00D669B3"/>
    <w:rsid w:val="00D678CB"/>
    <w:rsid w:val="00D67B4C"/>
    <w:rsid w:val="00D7198F"/>
    <w:rsid w:val="00D72ACD"/>
    <w:rsid w:val="00D75D2D"/>
    <w:rsid w:val="00D7769A"/>
    <w:rsid w:val="00D82D07"/>
    <w:rsid w:val="00D83425"/>
    <w:rsid w:val="00D8505D"/>
    <w:rsid w:val="00D91555"/>
    <w:rsid w:val="00DA28BE"/>
    <w:rsid w:val="00DB43C2"/>
    <w:rsid w:val="00DB694D"/>
    <w:rsid w:val="00DC32B8"/>
    <w:rsid w:val="00DD161B"/>
    <w:rsid w:val="00DD1BC5"/>
    <w:rsid w:val="00DD2699"/>
    <w:rsid w:val="00DE61D1"/>
    <w:rsid w:val="00E026B2"/>
    <w:rsid w:val="00E03097"/>
    <w:rsid w:val="00E10767"/>
    <w:rsid w:val="00E14C18"/>
    <w:rsid w:val="00E1609C"/>
    <w:rsid w:val="00E2428E"/>
    <w:rsid w:val="00E24F5C"/>
    <w:rsid w:val="00E31B7E"/>
    <w:rsid w:val="00E40545"/>
    <w:rsid w:val="00E4151A"/>
    <w:rsid w:val="00E51FDE"/>
    <w:rsid w:val="00E5405E"/>
    <w:rsid w:val="00E64C30"/>
    <w:rsid w:val="00E65B67"/>
    <w:rsid w:val="00E74476"/>
    <w:rsid w:val="00E75136"/>
    <w:rsid w:val="00E75369"/>
    <w:rsid w:val="00E77D94"/>
    <w:rsid w:val="00E80537"/>
    <w:rsid w:val="00E80F54"/>
    <w:rsid w:val="00E90D95"/>
    <w:rsid w:val="00E91543"/>
    <w:rsid w:val="00EA3F8B"/>
    <w:rsid w:val="00EA4074"/>
    <w:rsid w:val="00EA6AE2"/>
    <w:rsid w:val="00EB0C4F"/>
    <w:rsid w:val="00EB36C8"/>
    <w:rsid w:val="00EB49A9"/>
    <w:rsid w:val="00EB5457"/>
    <w:rsid w:val="00ED4857"/>
    <w:rsid w:val="00EE1AB2"/>
    <w:rsid w:val="00EE22A4"/>
    <w:rsid w:val="00EF6A56"/>
    <w:rsid w:val="00F00B29"/>
    <w:rsid w:val="00F02CCB"/>
    <w:rsid w:val="00F123FE"/>
    <w:rsid w:val="00F12A8C"/>
    <w:rsid w:val="00F176C2"/>
    <w:rsid w:val="00F245CA"/>
    <w:rsid w:val="00F27175"/>
    <w:rsid w:val="00F31EF0"/>
    <w:rsid w:val="00F34AE5"/>
    <w:rsid w:val="00F3539D"/>
    <w:rsid w:val="00F369AE"/>
    <w:rsid w:val="00F433D1"/>
    <w:rsid w:val="00F4620B"/>
    <w:rsid w:val="00F54899"/>
    <w:rsid w:val="00F645AC"/>
    <w:rsid w:val="00F67910"/>
    <w:rsid w:val="00F67A44"/>
    <w:rsid w:val="00F74306"/>
    <w:rsid w:val="00F81250"/>
    <w:rsid w:val="00FA08AB"/>
    <w:rsid w:val="00FB3BAD"/>
    <w:rsid w:val="00FB627C"/>
    <w:rsid w:val="00FC1080"/>
    <w:rsid w:val="00FC1412"/>
    <w:rsid w:val="00FD3355"/>
    <w:rsid w:val="00FE601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B4C"/>
    <w:rPr>
      <w:sz w:val="24"/>
      <w:szCs w:val="24"/>
      <w:lang w:val="en-US" w:eastAsia="en-US"/>
    </w:rPr>
  </w:style>
  <w:style w:type="paragraph" w:styleId="Titre1">
    <w:name w:val="heading 1"/>
    <w:basedOn w:val="Normal"/>
    <w:next w:val="Normal"/>
    <w:link w:val="Titre1Car"/>
    <w:qFormat/>
    <w:rsid w:val="001433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855583"/>
    <w:pPr>
      <w:keepNext/>
      <w:jc w:val="center"/>
      <w:outlineLvl w:val="1"/>
    </w:pPr>
    <w:rPr>
      <w:rFonts w:ascii="Arial" w:eastAsia="SimSun" w:hAnsi="Arial" w:cs="Arial"/>
      <w:b/>
      <w:bCs/>
      <w:sz w:val="36"/>
      <w:szCs w:val="22"/>
      <w:lang w:eastAsia="zh-CN"/>
    </w:rPr>
  </w:style>
  <w:style w:type="paragraph" w:styleId="Titre4">
    <w:name w:val="heading 4"/>
    <w:basedOn w:val="Normal"/>
    <w:next w:val="Normal"/>
    <w:link w:val="Titre4Car"/>
    <w:qFormat/>
    <w:rsid w:val="00855583"/>
    <w:pPr>
      <w:keepNext/>
      <w:jc w:val="center"/>
      <w:outlineLvl w:val="3"/>
    </w:pPr>
    <w:rPr>
      <w:rFonts w:ascii="Arial" w:eastAsia="SimSun" w:hAnsi="Arial" w:cs="Arial"/>
      <w:b/>
      <w:sz w:val="40"/>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855583"/>
    <w:rPr>
      <w:rFonts w:ascii="Arial" w:eastAsia="SimSun" w:hAnsi="Arial" w:cs="Arial"/>
      <w:b/>
      <w:bCs/>
      <w:sz w:val="36"/>
      <w:szCs w:val="22"/>
      <w:lang w:val="en-US" w:eastAsia="zh-CN"/>
    </w:rPr>
  </w:style>
  <w:style w:type="character" w:customStyle="1" w:styleId="Titre4Car">
    <w:name w:val="Titre 4 Car"/>
    <w:basedOn w:val="Policepardfaut"/>
    <w:link w:val="Titre4"/>
    <w:rsid w:val="00855583"/>
    <w:rPr>
      <w:rFonts w:ascii="Arial" w:eastAsia="SimSun" w:hAnsi="Arial" w:cs="Arial"/>
      <w:b/>
      <w:sz w:val="40"/>
      <w:szCs w:val="22"/>
      <w:lang w:val="en-US" w:eastAsia="zh-CN"/>
    </w:rPr>
  </w:style>
  <w:style w:type="character" w:styleId="lev">
    <w:name w:val="Strong"/>
    <w:basedOn w:val="Policepardfaut"/>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rPr>
  </w:style>
  <w:style w:type="paragraph" w:styleId="Notedebasdepage">
    <w:name w:val="footnote text"/>
    <w:aliases w:val="fn,Footnotes,Footnote ak,Note de bas de page Car Car Car Car Car,Note de bas de page Car Car Car Car Char Char Char,Note de bas de page Car Car Car Car Char Char,footnote text"/>
    <w:basedOn w:val="Normal"/>
    <w:link w:val="NotedebasdepageCar"/>
    <w:uiPriority w:val="99"/>
    <w:rsid w:val="00D67B4C"/>
    <w:rPr>
      <w:sz w:val="20"/>
      <w:szCs w:val="20"/>
    </w:rPr>
  </w:style>
  <w:style w:type="character" w:customStyle="1" w:styleId="NotedebasdepageCar">
    <w:name w:val="Note de bas de page Car"/>
    <w:aliases w:val="fn Car,Footnotes Car,Footnote ak Car,Note de bas de page Car Car Car Car Car Car,Note de bas de page Car Car Car Car Char Char Char Car,Note de bas de page Car Car Car Car Char Char Car,footnote text Car"/>
    <w:basedOn w:val="Policepardfaut"/>
    <w:link w:val="Notedebasdepage"/>
    <w:uiPriority w:val="99"/>
    <w:rsid w:val="00D67B4C"/>
    <w:rPr>
      <w:lang w:val="en-US" w:eastAsia="en-US"/>
    </w:rPr>
  </w:style>
  <w:style w:type="character" w:styleId="Appelnotedebasdep">
    <w:name w:val="footnote reference"/>
    <w:aliases w:val="Ref,de nota al pie"/>
    <w:basedOn w:val="Policepardfaut"/>
    <w:uiPriority w:val="99"/>
    <w:semiHidden/>
    <w:rsid w:val="00D67B4C"/>
    <w:rPr>
      <w:vertAlign w:val="superscript"/>
    </w:rPr>
  </w:style>
  <w:style w:type="character" w:styleId="Lienhypertexte">
    <w:name w:val="Hyperlink"/>
    <w:basedOn w:val="Policepardfaut"/>
    <w:uiPriority w:val="99"/>
    <w:unhideWhenUsed/>
    <w:rsid w:val="00004E11"/>
    <w:rPr>
      <w:color w:val="0000FF" w:themeColor="hyperlink"/>
      <w:u w:val="single"/>
    </w:rPr>
  </w:style>
  <w:style w:type="character" w:styleId="Marquedecommentaire">
    <w:name w:val="annotation reference"/>
    <w:basedOn w:val="Policepardfaut"/>
    <w:uiPriority w:val="99"/>
    <w:semiHidden/>
    <w:unhideWhenUsed/>
    <w:rsid w:val="00EB0C4F"/>
    <w:rPr>
      <w:sz w:val="16"/>
      <w:szCs w:val="16"/>
    </w:rPr>
  </w:style>
  <w:style w:type="paragraph" w:styleId="Commentaire">
    <w:name w:val="annotation text"/>
    <w:basedOn w:val="Normal"/>
    <w:link w:val="CommentaireCar"/>
    <w:uiPriority w:val="99"/>
    <w:semiHidden/>
    <w:unhideWhenUsed/>
    <w:rsid w:val="00EB0C4F"/>
    <w:rPr>
      <w:sz w:val="20"/>
      <w:szCs w:val="20"/>
    </w:rPr>
  </w:style>
  <w:style w:type="character" w:customStyle="1" w:styleId="CommentaireCar">
    <w:name w:val="Commentaire Car"/>
    <w:basedOn w:val="Policepardfaut"/>
    <w:link w:val="Commentaire"/>
    <w:uiPriority w:val="99"/>
    <w:semiHidden/>
    <w:rsid w:val="00EB0C4F"/>
    <w:rPr>
      <w:lang w:val="en-US" w:eastAsia="en-US"/>
    </w:rPr>
  </w:style>
  <w:style w:type="paragraph" w:styleId="Objetducommentaire">
    <w:name w:val="annotation subject"/>
    <w:basedOn w:val="Commentaire"/>
    <w:next w:val="Commentaire"/>
    <w:link w:val="ObjetducommentaireCar"/>
    <w:uiPriority w:val="99"/>
    <w:semiHidden/>
    <w:unhideWhenUsed/>
    <w:rsid w:val="00EB0C4F"/>
    <w:rPr>
      <w:b/>
      <w:bCs/>
    </w:rPr>
  </w:style>
  <w:style w:type="character" w:customStyle="1" w:styleId="ObjetducommentaireCar">
    <w:name w:val="Objet du commentaire Car"/>
    <w:basedOn w:val="CommentaireCar"/>
    <w:link w:val="Objetducommentaire"/>
    <w:uiPriority w:val="99"/>
    <w:semiHidden/>
    <w:rsid w:val="00EB0C4F"/>
    <w:rPr>
      <w:b/>
      <w:bCs/>
      <w:lang w:val="en-US" w:eastAsia="en-US"/>
    </w:rPr>
  </w:style>
  <w:style w:type="paragraph" w:styleId="Textedebulles">
    <w:name w:val="Balloon Text"/>
    <w:basedOn w:val="Normal"/>
    <w:link w:val="TextedebullesCar"/>
    <w:uiPriority w:val="99"/>
    <w:semiHidden/>
    <w:unhideWhenUsed/>
    <w:rsid w:val="00EB0C4F"/>
    <w:rPr>
      <w:rFonts w:ascii="Tahoma" w:hAnsi="Tahoma" w:cs="Tahoma"/>
      <w:sz w:val="16"/>
      <w:szCs w:val="16"/>
    </w:rPr>
  </w:style>
  <w:style w:type="character" w:customStyle="1" w:styleId="TextedebullesCar">
    <w:name w:val="Texte de bulles Car"/>
    <w:basedOn w:val="Policepardfaut"/>
    <w:link w:val="Textedebulles"/>
    <w:uiPriority w:val="99"/>
    <w:semiHidden/>
    <w:rsid w:val="00EB0C4F"/>
    <w:rPr>
      <w:rFonts w:ascii="Tahoma" w:hAnsi="Tahoma" w:cs="Tahoma"/>
      <w:sz w:val="16"/>
      <w:szCs w:val="16"/>
      <w:lang w:val="en-US" w:eastAsia="en-US"/>
    </w:rPr>
  </w:style>
  <w:style w:type="character" w:styleId="Accentuation">
    <w:name w:val="Emphasis"/>
    <w:basedOn w:val="Policepardfaut"/>
    <w:uiPriority w:val="20"/>
    <w:qFormat/>
    <w:rsid w:val="00990608"/>
    <w:rPr>
      <w:rFonts w:cs="Times New Roman"/>
      <w:i/>
      <w:iCs/>
    </w:rPr>
  </w:style>
  <w:style w:type="character" w:customStyle="1" w:styleId="longtext1">
    <w:name w:val="long_text1"/>
    <w:rsid w:val="00F176C2"/>
    <w:rPr>
      <w:rFonts w:cs="Times New Roman"/>
      <w:sz w:val="20"/>
      <w:szCs w:val="20"/>
    </w:rPr>
  </w:style>
  <w:style w:type="paragraph" w:styleId="Corpsdetexte">
    <w:name w:val="Body Text"/>
    <w:basedOn w:val="Normal"/>
    <w:link w:val="CorpsdetexteCar"/>
    <w:rsid w:val="00093C1F"/>
    <w:pPr>
      <w:numPr>
        <w:numId w:val="5"/>
      </w:numPr>
      <w:spacing w:before="120"/>
      <w:jc w:val="both"/>
    </w:pPr>
    <w:rPr>
      <w:rFonts w:ascii="Calibri" w:eastAsia="SimSun" w:hAnsi="Calibri"/>
      <w:szCs w:val="36"/>
      <w:lang w:val="fr-FR" w:eastAsia="zh-CN"/>
    </w:rPr>
  </w:style>
  <w:style w:type="character" w:customStyle="1" w:styleId="CorpsdetexteCar">
    <w:name w:val="Corps de texte Car"/>
    <w:basedOn w:val="Policepardfaut"/>
    <w:link w:val="Corpsdetexte"/>
    <w:rsid w:val="00093C1F"/>
    <w:rPr>
      <w:rFonts w:ascii="Calibri" w:eastAsia="SimSun" w:hAnsi="Calibri"/>
      <w:sz w:val="24"/>
      <w:szCs w:val="36"/>
      <w:lang w:eastAsia="zh-CN"/>
    </w:rPr>
  </w:style>
  <w:style w:type="character" w:customStyle="1" w:styleId="apple-style-span">
    <w:name w:val="apple-style-span"/>
    <w:rsid w:val="007A0F28"/>
  </w:style>
  <w:style w:type="character" w:customStyle="1" w:styleId="apple-converted-space">
    <w:name w:val="apple-converted-space"/>
    <w:basedOn w:val="Policepardfaut"/>
    <w:rsid w:val="00EA4074"/>
  </w:style>
  <w:style w:type="paragraph" w:styleId="Retraitcorpsdetexte3">
    <w:name w:val="Body Text Indent 3"/>
    <w:basedOn w:val="Normal"/>
    <w:link w:val="Retraitcorpsdetexte3Car"/>
    <w:uiPriority w:val="99"/>
    <w:semiHidden/>
    <w:unhideWhenUsed/>
    <w:rsid w:val="00F123F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123FE"/>
    <w:rPr>
      <w:sz w:val="16"/>
      <w:szCs w:val="16"/>
      <w:lang w:val="en-US" w:eastAsia="en-US"/>
    </w:rPr>
  </w:style>
  <w:style w:type="paragraph" w:customStyle="1" w:styleId="Paragraphedeliste1">
    <w:name w:val="Paragraphe de liste1"/>
    <w:basedOn w:val="Normal"/>
    <w:rsid w:val="00D0021A"/>
    <w:pPr>
      <w:spacing w:after="200" w:line="276" w:lineRule="auto"/>
      <w:ind w:left="720"/>
    </w:pPr>
    <w:rPr>
      <w:rFonts w:ascii="Calibri" w:hAnsi="Calibri"/>
      <w:sz w:val="22"/>
      <w:szCs w:val="22"/>
    </w:rPr>
  </w:style>
  <w:style w:type="paragraph" w:styleId="En-tte">
    <w:name w:val="header"/>
    <w:basedOn w:val="Normal"/>
    <w:link w:val="En-tteCar"/>
    <w:uiPriority w:val="99"/>
    <w:semiHidden/>
    <w:unhideWhenUsed/>
    <w:rsid w:val="00662794"/>
    <w:pPr>
      <w:tabs>
        <w:tab w:val="center" w:pos="4536"/>
        <w:tab w:val="right" w:pos="9072"/>
      </w:tabs>
    </w:pPr>
  </w:style>
  <w:style w:type="character" w:customStyle="1" w:styleId="En-tteCar">
    <w:name w:val="En-tête Car"/>
    <w:basedOn w:val="Policepardfaut"/>
    <w:link w:val="En-tte"/>
    <w:uiPriority w:val="99"/>
    <w:semiHidden/>
    <w:rsid w:val="00662794"/>
    <w:rPr>
      <w:sz w:val="24"/>
      <w:szCs w:val="24"/>
      <w:lang w:val="en-US" w:eastAsia="en-US"/>
    </w:rPr>
  </w:style>
  <w:style w:type="paragraph" w:styleId="Pieddepage">
    <w:name w:val="footer"/>
    <w:basedOn w:val="Normal"/>
    <w:link w:val="PieddepageCar"/>
    <w:uiPriority w:val="99"/>
    <w:unhideWhenUsed/>
    <w:rsid w:val="00662794"/>
    <w:pPr>
      <w:tabs>
        <w:tab w:val="center" w:pos="4536"/>
        <w:tab w:val="right" w:pos="9072"/>
      </w:tabs>
    </w:pPr>
  </w:style>
  <w:style w:type="character" w:customStyle="1" w:styleId="PieddepageCar">
    <w:name w:val="Pied de page Car"/>
    <w:basedOn w:val="Policepardfaut"/>
    <w:link w:val="Pieddepage"/>
    <w:uiPriority w:val="99"/>
    <w:rsid w:val="00662794"/>
    <w:rPr>
      <w:sz w:val="24"/>
      <w:szCs w:val="24"/>
      <w:lang w:val="en-US" w:eastAsia="en-US"/>
    </w:rPr>
  </w:style>
  <w:style w:type="character" w:customStyle="1" w:styleId="Titre1Car">
    <w:name w:val="Titre 1 Car"/>
    <w:basedOn w:val="Policepardfaut"/>
    <w:link w:val="Titre1"/>
    <w:rsid w:val="00143310"/>
    <w:rPr>
      <w:rFonts w:asciiTheme="majorHAnsi" w:eastAsiaTheme="majorEastAsia" w:hAnsiTheme="majorHAnsi" w:cstheme="majorBidi"/>
      <w:b/>
      <w:bCs/>
      <w:color w:val="365F91" w:themeColor="accent1" w:themeShade="BF"/>
      <w:sz w:val="28"/>
      <w:szCs w:val="28"/>
      <w:lang w:val="en-US" w:eastAsia="en-US"/>
    </w:rPr>
  </w:style>
  <w:style w:type="paragraph" w:styleId="Lgende">
    <w:name w:val="caption"/>
    <w:basedOn w:val="Normal"/>
    <w:next w:val="Normal"/>
    <w:qFormat/>
    <w:rsid w:val="00143310"/>
    <w:pPr>
      <w:jc w:val="center"/>
    </w:pPr>
    <w:rPr>
      <w:rFonts w:ascii="Tahoma" w:hAnsi="Tahoma" w:cs="Tahoma"/>
      <w:i/>
      <w:iCs/>
      <w:spacing w:val="-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B4C"/>
    <w:rPr>
      <w:sz w:val="24"/>
      <w:szCs w:val="24"/>
      <w:lang w:val="en-US" w:eastAsia="en-US"/>
    </w:rPr>
  </w:style>
  <w:style w:type="paragraph" w:styleId="Titre2">
    <w:name w:val="heading 2"/>
    <w:basedOn w:val="Normal"/>
    <w:next w:val="Normal"/>
    <w:link w:val="Titre2Car"/>
    <w:qFormat/>
    <w:rsid w:val="00855583"/>
    <w:pPr>
      <w:keepNext/>
      <w:jc w:val="center"/>
      <w:outlineLvl w:val="1"/>
    </w:pPr>
    <w:rPr>
      <w:rFonts w:ascii="Arial" w:eastAsia="SimSun" w:hAnsi="Arial" w:cs="Arial"/>
      <w:b/>
      <w:bCs/>
      <w:sz w:val="36"/>
      <w:szCs w:val="22"/>
      <w:lang w:eastAsia="zh-CN"/>
    </w:rPr>
  </w:style>
  <w:style w:type="paragraph" w:styleId="Titre4">
    <w:name w:val="heading 4"/>
    <w:basedOn w:val="Normal"/>
    <w:next w:val="Normal"/>
    <w:link w:val="Titre4Car"/>
    <w:qFormat/>
    <w:rsid w:val="00855583"/>
    <w:pPr>
      <w:keepNext/>
      <w:jc w:val="center"/>
      <w:outlineLvl w:val="3"/>
    </w:pPr>
    <w:rPr>
      <w:rFonts w:ascii="Arial" w:eastAsia="SimSun" w:hAnsi="Arial" w:cs="Arial"/>
      <w:b/>
      <w:sz w:val="40"/>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855583"/>
    <w:rPr>
      <w:rFonts w:ascii="Arial" w:eastAsia="SimSun" w:hAnsi="Arial" w:cs="Arial"/>
      <w:b/>
      <w:bCs/>
      <w:sz w:val="36"/>
      <w:szCs w:val="22"/>
      <w:lang w:val="en-US" w:eastAsia="zh-CN"/>
    </w:rPr>
  </w:style>
  <w:style w:type="character" w:customStyle="1" w:styleId="Titre4Car">
    <w:name w:val="Titre 4 Car"/>
    <w:basedOn w:val="Policepardfaut"/>
    <w:link w:val="Titre4"/>
    <w:rsid w:val="00855583"/>
    <w:rPr>
      <w:rFonts w:ascii="Arial" w:eastAsia="SimSun" w:hAnsi="Arial" w:cs="Arial"/>
      <w:b/>
      <w:sz w:val="40"/>
      <w:szCs w:val="22"/>
      <w:lang w:val="en-US" w:eastAsia="zh-CN"/>
    </w:rPr>
  </w:style>
  <w:style w:type="character" w:styleId="lev">
    <w:name w:val="Strong"/>
    <w:basedOn w:val="Policepardfaut"/>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rPr>
  </w:style>
  <w:style w:type="paragraph" w:styleId="Notedebasdepage">
    <w:name w:val="footnote text"/>
    <w:aliases w:val="fn,Footnotes,Footnote ak,Note de bas de page Car Car Car Car Car,Note de bas de page Car Car Car Car Char Char Char,Note de bas de page Car Car Car Car Char Char,footnote text"/>
    <w:basedOn w:val="Normal"/>
    <w:link w:val="NotedebasdepageCar"/>
    <w:uiPriority w:val="99"/>
    <w:rsid w:val="00D67B4C"/>
    <w:rPr>
      <w:sz w:val="20"/>
      <w:szCs w:val="20"/>
    </w:rPr>
  </w:style>
  <w:style w:type="character" w:customStyle="1" w:styleId="NotedebasdepageCar">
    <w:name w:val="Note de bas de page Car"/>
    <w:aliases w:val="fn Car,Footnotes Car,Footnote ak Car,Note de bas de page Car Car Car Car Car Car,Note de bas de page Car Car Car Car Char Char Char Car,Note de bas de page Car Car Car Car Char Char Car,footnote text Car"/>
    <w:basedOn w:val="Policepardfaut"/>
    <w:link w:val="Notedebasdepage"/>
    <w:uiPriority w:val="99"/>
    <w:rsid w:val="00D67B4C"/>
    <w:rPr>
      <w:lang w:val="en-US" w:eastAsia="en-US"/>
    </w:rPr>
  </w:style>
  <w:style w:type="character" w:styleId="Appelnotedebasdep">
    <w:name w:val="footnote reference"/>
    <w:aliases w:val="Ref,de nota al pie"/>
    <w:basedOn w:val="Policepardfaut"/>
    <w:uiPriority w:val="99"/>
    <w:semiHidden/>
    <w:rsid w:val="00D67B4C"/>
    <w:rPr>
      <w:vertAlign w:val="superscript"/>
    </w:rPr>
  </w:style>
  <w:style w:type="character" w:styleId="Lienhypertexte">
    <w:name w:val="Hyperlink"/>
    <w:basedOn w:val="Policepardfaut"/>
    <w:uiPriority w:val="99"/>
    <w:unhideWhenUsed/>
    <w:rsid w:val="00004E11"/>
    <w:rPr>
      <w:color w:val="0000FF" w:themeColor="hyperlink"/>
      <w:u w:val="single"/>
    </w:rPr>
  </w:style>
  <w:style w:type="character" w:styleId="Marquedecommentaire">
    <w:name w:val="annotation reference"/>
    <w:basedOn w:val="Policepardfaut"/>
    <w:uiPriority w:val="99"/>
    <w:semiHidden/>
    <w:unhideWhenUsed/>
    <w:rsid w:val="00EB0C4F"/>
    <w:rPr>
      <w:sz w:val="16"/>
      <w:szCs w:val="16"/>
    </w:rPr>
  </w:style>
  <w:style w:type="paragraph" w:styleId="Commentaire">
    <w:name w:val="annotation text"/>
    <w:basedOn w:val="Normal"/>
    <w:link w:val="CommentaireCar"/>
    <w:uiPriority w:val="99"/>
    <w:semiHidden/>
    <w:unhideWhenUsed/>
    <w:rsid w:val="00EB0C4F"/>
    <w:rPr>
      <w:sz w:val="20"/>
      <w:szCs w:val="20"/>
    </w:rPr>
  </w:style>
  <w:style w:type="character" w:customStyle="1" w:styleId="CommentaireCar">
    <w:name w:val="Commentaire Car"/>
    <w:basedOn w:val="Policepardfaut"/>
    <w:link w:val="Commentaire"/>
    <w:uiPriority w:val="99"/>
    <w:semiHidden/>
    <w:rsid w:val="00EB0C4F"/>
    <w:rPr>
      <w:lang w:val="en-US" w:eastAsia="en-US"/>
    </w:rPr>
  </w:style>
  <w:style w:type="paragraph" w:styleId="Objetducommentaire">
    <w:name w:val="annotation subject"/>
    <w:basedOn w:val="Commentaire"/>
    <w:next w:val="Commentaire"/>
    <w:link w:val="ObjetducommentaireCar"/>
    <w:uiPriority w:val="99"/>
    <w:semiHidden/>
    <w:unhideWhenUsed/>
    <w:rsid w:val="00EB0C4F"/>
    <w:rPr>
      <w:b/>
      <w:bCs/>
    </w:rPr>
  </w:style>
  <w:style w:type="character" w:customStyle="1" w:styleId="ObjetducommentaireCar">
    <w:name w:val="Objet du commentaire Car"/>
    <w:basedOn w:val="CommentaireCar"/>
    <w:link w:val="Objetducommentaire"/>
    <w:uiPriority w:val="99"/>
    <w:semiHidden/>
    <w:rsid w:val="00EB0C4F"/>
    <w:rPr>
      <w:b/>
      <w:bCs/>
      <w:lang w:val="en-US" w:eastAsia="en-US"/>
    </w:rPr>
  </w:style>
  <w:style w:type="paragraph" w:styleId="Textedebulles">
    <w:name w:val="Balloon Text"/>
    <w:basedOn w:val="Normal"/>
    <w:link w:val="TextedebullesCar"/>
    <w:uiPriority w:val="99"/>
    <w:semiHidden/>
    <w:unhideWhenUsed/>
    <w:rsid w:val="00EB0C4F"/>
    <w:rPr>
      <w:rFonts w:ascii="Tahoma" w:hAnsi="Tahoma" w:cs="Tahoma"/>
      <w:sz w:val="16"/>
      <w:szCs w:val="16"/>
    </w:rPr>
  </w:style>
  <w:style w:type="character" w:customStyle="1" w:styleId="TextedebullesCar">
    <w:name w:val="Texte de bulles Car"/>
    <w:basedOn w:val="Policepardfaut"/>
    <w:link w:val="Textedebulles"/>
    <w:uiPriority w:val="99"/>
    <w:semiHidden/>
    <w:rsid w:val="00EB0C4F"/>
    <w:rPr>
      <w:rFonts w:ascii="Tahoma" w:hAnsi="Tahoma" w:cs="Tahoma"/>
      <w:sz w:val="16"/>
      <w:szCs w:val="16"/>
      <w:lang w:val="en-US" w:eastAsia="en-US"/>
    </w:rPr>
  </w:style>
  <w:style w:type="character" w:styleId="Accentuation">
    <w:name w:val="Emphasis"/>
    <w:basedOn w:val="Policepardfaut"/>
    <w:uiPriority w:val="20"/>
    <w:qFormat/>
    <w:rsid w:val="00990608"/>
    <w:rPr>
      <w:rFonts w:cs="Times New Roman"/>
      <w:i/>
      <w:iCs/>
    </w:rPr>
  </w:style>
  <w:style w:type="character" w:customStyle="1" w:styleId="longtext1">
    <w:name w:val="long_text1"/>
    <w:rsid w:val="00F176C2"/>
    <w:rPr>
      <w:rFonts w:cs="Times New Roman"/>
      <w:sz w:val="20"/>
      <w:szCs w:val="20"/>
    </w:rPr>
  </w:style>
  <w:style w:type="paragraph" w:styleId="Corpsdetexte">
    <w:name w:val="Body Text"/>
    <w:basedOn w:val="Normal"/>
    <w:link w:val="CorpsdetexteCar"/>
    <w:rsid w:val="00093C1F"/>
    <w:pPr>
      <w:numPr>
        <w:numId w:val="5"/>
      </w:numPr>
      <w:spacing w:before="120"/>
      <w:jc w:val="both"/>
    </w:pPr>
    <w:rPr>
      <w:rFonts w:ascii="Calibri" w:eastAsia="SimSun" w:hAnsi="Calibri"/>
      <w:szCs w:val="36"/>
      <w:lang w:val="fr-FR" w:eastAsia="zh-CN"/>
    </w:rPr>
  </w:style>
  <w:style w:type="character" w:customStyle="1" w:styleId="CorpsdetexteCar">
    <w:name w:val="Corps de texte Car"/>
    <w:basedOn w:val="Policepardfaut"/>
    <w:link w:val="Corpsdetexte"/>
    <w:rsid w:val="00093C1F"/>
    <w:rPr>
      <w:rFonts w:ascii="Calibri" w:eastAsia="SimSun" w:hAnsi="Calibri"/>
      <w:sz w:val="24"/>
      <w:szCs w:val="36"/>
      <w:lang w:eastAsia="zh-CN"/>
    </w:rPr>
  </w:style>
  <w:style w:type="character" w:customStyle="1" w:styleId="apple-style-span">
    <w:name w:val="apple-style-span"/>
    <w:rsid w:val="007A0F28"/>
  </w:style>
  <w:style w:type="character" w:customStyle="1" w:styleId="apple-converted-space">
    <w:name w:val="apple-converted-space"/>
    <w:basedOn w:val="Policepardfaut"/>
    <w:rsid w:val="00EA4074"/>
  </w:style>
  <w:style w:type="paragraph" w:styleId="Retraitcorpsdetexte3">
    <w:name w:val="Body Text Indent 3"/>
    <w:basedOn w:val="Normal"/>
    <w:link w:val="Retraitcorpsdetexte3Car"/>
    <w:uiPriority w:val="99"/>
    <w:semiHidden/>
    <w:unhideWhenUsed/>
    <w:rsid w:val="00F123F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123FE"/>
    <w:rPr>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sahraoui@uneca.org" TargetMode="External"/><Relationship Id="rId5" Type="http://schemas.openxmlformats.org/officeDocument/2006/relationships/webSettings" Target="webSettings.xml"/><Relationship Id="rId10" Type="http://schemas.openxmlformats.org/officeDocument/2006/relationships/hyperlink" Target="mailto:akane@uneca.org"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71E55-FC5E-423B-99FB-859939FC1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3702</Words>
  <Characters>21105</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24758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kane</dc:creator>
  <cp:lastModifiedBy> Mosseddek</cp:lastModifiedBy>
  <cp:revision>11</cp:revision>
  <cp:lastPrinted>2013-01-11T19:45:00Z</cp:lastPrinted>
  <dcterms:created xsi:type="dcterms:W3CDTF">2013-01-09T17:02:00Z</dcterms:created>
  <dcterms:modified xsi:type="dcterms:W3CDTF">2013-01-11T19:50:00Z</dcterms:modified>
</cp:coreProperties>
</file>