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EEFE2"/>
  <w:body>
    <w:p w:rsidR="00CD07B9" w:rsidRDefault="007A326A" w:rsidP="006A5DD4">
      <w:pPr>
        <w:ind w:left="227" w:right="142"/>
        <w:jc w:val="center"/>
        <w:rPr>
          <w:szCs w:val="16"/>
          <w:lang w:val="fr-FR"/>
        </w:rPr>
      </w:pPr>
      <w:r w:rsidRPr="007A326A">
        <w:rPr>
          <w:szCs w:val="16"/>
          <w:rtl/>
          <w:lang w:val="fr-FR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25400</wp:posOffset>
            </wp:positionV>
            <wp:extent cx="277495" cy="238125"/>
            <wp:effectExtent l="19050" t="0" r="8255" b="0"/>
            <wp:wrapSquare wrapText="bothSides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3FFFD"/>
                        </a:clrFrom>
                        <a:clrTo>
                          <a:srgbClr val="F3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7FEC" w:rsidRDefault="007A326A" w:rsidP="00847FEC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>
        <w:rPr>
          <w:noProof/>
          <w:szCs w:val="1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27" type="#_x0000_t202" style="position:absolute;left:0;text-align:left;margin-left:-33.05pt;margin-top:3.75pt;width:120.15pt;height:29pt;z-index:251660288" fillcolor="#feefe2" stroked="f">
            <v:textbox style="mso-next-textbox:#_x0000_s1427">
              <w:txbxContent>
                <w:p w:rsidR="007A326A" w:rsidRDefault="007A326A" w:rsidP="000A2A5C">
                  <w:pPr>
                    <w:pStyle w:val="Titre1"/>
                    <w:numPr>
                      <w:ilvl w:val="0"/>
                      <w:numId w:val="0"/>
                    </w:numPr>
                    <w:spacing w:before="12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>Commission économique pour l’Afrique</w:t>
                  </w:r>
                </w:p>
                <w:p w:rsidR="007A326A" w:rsidRPr="007A326A" w:rsidRDefault="007A326A" w:rsidP="007A326A">
                  <w:pPr>
                    <w:pStyle w:val="Titre1"/>
                    <w:numPr>
                      <w:ilvl w:val="0"/>
                      <w:numId w:val="0"/>
                    </w:numPr>
                    <w:spacing w:before="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 xml:space="preserve">Bureau pour l’Afrique du Nord </w:t>
                  </w:r>
                </w:p>
                <w:p w:rsidR="007A326A" w:rsidRPr="007A326A" w:rsidRDefault="007A326A" w:rsidP="007A326A">
                  <w:pPr>
                    <w:rPr>
                      <w:sz w:val="14"/>
                      <w:szCs w:val="14"/>
                      <w:lang w:val="fr-FR"/>
                    </w:rPr>
                  </w:pPr>
                </w:p>
              </w:txbxContent>
            </v:textbox>
          </v:shape>
        </w:pict>
      </w:r>
    </w:p>
    <w:p w:rsidR="007A326A" w:rsidRDefault="007A326A" w:rsidP="007A326A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</w:p>
    <w:p w:rsidR="00847FEC" w:rsidRPr="000A2A5C" w:rsidRDefault="00847FEC" w:rsidP="007A326A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24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 xml:space="preserve">Evaluation du processus de l'intégration régionale de l’UMA sur la Convention de Sécurité Sociale et la politique de la migration  </w:t>
      </w:r>
    </w:p>
    <w:p w:rsidR="00847FEC" w:rsidRPr="000A2A5C" w:rsidRDefault="00847FEC" w:rsidP="007A326A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120" w:after="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>Rabat, 20 et 21 novembre 2013</w:t>
      </w:r>
    </w:p>
    <w:p w:rsidR="00847FEC" w:rsidRPr="00847FEC" w:rsidRDefault="00847FEC" w:rsidP="00847FEC">
      <w:pPr>
        <w:tabs>
          <w:tab w:val="num" w:pos="284"/>
        </w:tabs>
        <w:ind w:left="284" w:right="368"/>
        <w:jc w:val="center"/>
        <w:rPr>
          <w:sz w:val="18"/>
          <w:szCs w:val="10"/>
          <w:lang w:val="fr-FR"/>
        </w:rPr>
      </w:pPr>
    </w:p>
    <w:p w:rsidR="006A5DD4" w:rsidRDefault="006A5DD4" w:rsidP="006A5DD4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7A326A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0A2A5C" w:rsidRDefault="000A2A5C" w:rsidP="007A326A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6A5DD4" w:rsidRPr="00920E71" w:rsidRDefault="006A5DD4" w:rsidP="007A326A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Omar</w:t>
      </w:r>
      <w:r w:rsidR="007A326A"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 xml:space="preserve"> </w:t>
      </w:r>
      <w:proofErr w:type="spellStart"/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Abdourrahmane</w:t>
      </w:r>
      <w:proofErr w:type="spellEnd"/>
    </w:p>
    <w:p w:rsidR="006A5DD4" w:rsidRDefault="006A5DD4" w:rsidP="007A326A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  <w:t>CEA-AN</w:t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noProof/>
          <w:szCs w:val="16"/>
          <w:rtl/>
          <w:lang w:bidi="ar-SA"/>
        </w:rPr>
        <w:drawing>
          <wp:inline distT="0" distB="0" distL="0" distR="0">
            <wp:extent cx="1944093" cy="632713"/>
            <wp:effectExtent l="19050" t="0" r="0" b="0"/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93" cy="632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16"/>
          <w:rtl/>
          <w:lang w:val="fr-FR"/>
        </w:rPr>
        <w:br w:type="page"/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  <w:r w:rsidRPr="007A326A">
        <w:rPr>
          <w:szCs w:val="16"/>
          <w:rtl/>
          <w:lang w:val="fr-FR"/>
        </w:rPr>
        <w:lastRenderedPageBreak/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25400</wp:posOffset>
            </wp:positionV>
            <wp:extent cx="277495" cy="238125"/>
            <wp:effectExtent l="19050" t="0" r="8255" b="0"/>
            <wp:wrapSquare wrapText="bothSides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3FFFD"/>
                        </a:clrFrom>
                        <a:clrTo>
                          <a:srgbClr val="F3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>
        <w:rPr>
          <w:noProof/>
          <w:szCs w:val="16"/>
          <w:rtl/>
        </w:rPr>
        <w:pict>
          <v:shape id="_x0000_s1429" type="#_x0000_t202" style="position:absolute;left:0;text-align:left;margin-left:-33.05pt;margin-top:3.75pt;width:120.15pt;height:28.35pt;z-index:251663360" fillcolor="#feefe2" stroked="f">
            <v:textbox style="mso-next-textbox:#_x0000_s1429">
              <w:txbxContent>
                <w:p w:rsidR="00920E71" w:rsidRDefault="00920E71" w:rsidP="000A2A5C">
                  <w:pPr>
                    <w:pStyle w:val="Titre1"/>
                    <w:numPr>
                      <w:ilvl w:val="0"/>
                      <w:numId w:val="0"/>
                    </w:numPr>
                    <w:spacing w:before="12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>Commission économique pour l’Afrique</w:t>
                  </w:r>
                </w:p>
                <w:p w:rsidR="00920E71" w:rsidRPr="007A326A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 xml:space="preserve">Bureau pour l’Afrique du Nord </w:t>
                  </w:r>
                </w:p>
                <w:p w:rsidR="00920E71" w:rsidRPr="007A326A" w:rsidRDefault="00920E71" w:rsidP="00920E71">
                  <w:pPr>
                    <w:rPr>
                      <w:sz w:val="14"/>
                      <w:szCs w:val="14"/>
                      <w:lang w:val="fr-FR"/>
                    </w:rPr>
                  </w:pPr>
                </w:p>
              </w:txbxContent>
            </v:textbox>
          </v:shape>
        </w:pict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24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 xml:space="preserve">Evaluation du processus de l'intégration régionale de l’UMA sur la Convention de Sécurité Sociale et la politique de la migration  </w:t>
      </w: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120" w:after="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>Rabat, 20 et 21 novembre 2013</w:t>
      </w:r>
    </w:p>
    <w:p w:rsidR="00920E71" w:rsidRPr="00847FEC" w:rsidRDefault="00920E71" w:rsidP="00920E71">
      <w:pPr>
        <w:tabs>
          <w:tab w:val="num" w:pos="284"/>
        </w:tabs>
        <w:ind w:left="284" w:right="368"/>
        <w:jc w:val="center"/>
        <w:rPr>
          <w:sz w:val="18"/>
          <w:szCs w:val="10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0A2A5C" w:rsidRDefault="000A2A5C" w:rsidP="00920E71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 xml:space="preserve">Omar </w:t>
      </w:r>
      <w:proofErr w:type="spellStart"/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Abdourrahmane</w:t>
      </w:r>
      <w:proofErr w:type="spellEnd"/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  <w:t>CEA-AN</w:t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Pr="006A5DD4" w:rsidRDefault="00920E71" w:rsidP="00920E71">
      <w:pPr>
        <w:jc w:val="center"/>
        <w:rPr>
          <w:szCs w:val="16"/>
          <w:lang w:val="fr-FR"/>
        </w:rPr>
      </w:pPr>
      <w:r>
        <w:rPr>
          <w:noProof/>
          <w:szCs w:val="16"/>
          <w:rtl/>
          <w:lang w:bidi="ar-SA"/>
        </w:rPr>
        <w:drawing>
          <wp:inline distT="0" distB="0" distL="0" distR="0">
            <wp:extent cx="1974206" cy="576375"/>
            <wp:effectExtent l="19050" t="0" r="6994" b="0"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06" cy="5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  <w:r w:rsidRPr="007A326A">
        <w:rPr>
          <w:szCs w:val="16"/>
          <w:rtl/>
          <w:lang w:val="fr-FR"/>
        </w:rPr>
        <w:lastRenderedPageBreak/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25400</wp:posOffset>
            </wp:positionV>
            <wp:extent cx="277495" cy="238125"/>
            <wp:effectExtent l="19050" t="0" r="8255" b="0"/>
            <wp:wrapSquare wrapText="bothSides"/>
            <wp:docPr id="1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3FFFD"/>
                        </a:clrFrom>
                        <a:clrTo>
                          <a:srgbClr val="F3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>
        <w:rPr>
          <w:noProof/>
          <w:szCs w:val="16"/>
          <w:rtl/>
        </w:rPr>
        <w:pict>
          <v:shape id="_x0000_s1431" type="#_x0000_t202" style="position:absolute;left:0;text-align:left;margin-left:-33.05pt;margin-top:3.75pt;width:120.15pt;height:29.7pt;z-index:251666432" fillcolor="#feefe2" stroked="f">
            <v:textbox style="mso-next-textbox:#_x0000_s1431">
              <w:txbxContent>
                <w:p w:rsidR="00920E71" w:rsidRDefault="00920E71" w:rsidP="000A2A5C">
                  <w:pPr>
                    <w:pStyle w:val="Titre1"/>
                    <w:numPr>
                      <w:ilvl w:val="0"/>
                      <w:numId w:val="0"/>
                    </w:numPr>
                    <w:spacing w:before="12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>Commission économique pour l’Afrique</w:t>
                  </w:r>
                </w:p>
                <w:p w:rsidR="00920E71" w:rsidRPr="007A326A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 xml:space="preserve">Bureau pour l’Afrique du Nord </w:t>
                  </w:r>
                </w:p>
                <w:p w:rsidR="00920E71" w:rsidRPr="007A326A" w:rsidRDefault="00920E71" w:rsidP="00920E71">
                  <w:pPr>
                    <w:rPr>
                      <w:sz w:val="14"/>
                      <w:szCs w:val="14"/>
                      <w:lang w:val="fr-FR"/>
                    </w:rPr>
                  </w:pPr>
                </w:p>
              </w:txbxContent>
            </v:textbox>
          </v:shape>
        </w:pict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24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 xml:space="preserve">Evaluation du processus de l'intégration régionale de l’UMA sur la Convention de Sécurité Sociale et la politique de la migration  </w:t>
      </w: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120" w:after="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>Rabat, 20 et 21 novembre 2013</w:t>
      </w:r>
    </w:p>
    <w:p w:rsidR="00920E71" w:rsidRPr="00847FEC" w:rsidRDefault="00920E71" w:rsidP="00920E71">
      <w:pPr>
        <w:tabs>
          <w:tab w:val="num" w:pos="284"/>
        </w:tabs>
        <w:ind w:left="284" w:right="368"/>
        <w:jc w:val="center"/>
        <w:rPr>
          <w:sz w:val="18"/>
          <w:szCs w:val="10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0A2A5C" w:rsidRDefault="000A2A5C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 xml:space="preserve">Omar </w:t>
      </w:r>
      <w:proofErr w:type="spellStart"/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Abdourrahmane</w:t>
      </w:r>
      <w:proofErr w:type="spellEnd"/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  <w:t>CEA-AN</w:t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Pr="006A5DD4" w:rsidRDefault="00920E71" w:rsidP="00920E71">
      <w:pPr>
        <w:jc w:val="center"/>
        <w:rPr>
          <w:szCs w:val="16"/>
          <w:lang w:val="fr-FR"/>
        </w:rPr>
      </w:pPr>
      <w:r>
        <w:rPr>
          <w:noProof/>
          <w:szCs w:val="16"/>
          <w:rtl/>
          <w:lang w:bidi="ar-SA"/>
        </w:rPr>
        <w:drawing>
          <wp:inline distT="0" distB="0" distL="0" distR="0">
            <wp:extent cx="1974206" cy="576375"/>
            <wp:effectExtent l="19050" t="0" r="6994" b="0"/>
            <wp:docPr id="1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06" cy="5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  <w:r w:rsidRPr="007A326A">
        <w:rPr>
          <w:szCs w:val="16"/>
          <w:rtl/>
          <w:lang w:val="fr-FR"/>
        </w:rPr>
        <w:lastRenderedPageBreak/>
        <w:drawing>
          <wp:anchor distT="0" distB="0" distL="114935" distR="114935" simplePos="0" relativeHeight="25167052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25400</wp:posOffset>
            </wp:positionV>
            <wp:extent cx="277495" cy="238125"/>
            <wp:effectExtent l="19050" t="0" r="8255" b="0"/>
            <wp:wrapSquare wrapText="bothSides"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3FFFD"/>
                        </a:clrFrom>
                        <a:clrTo>
                          <a:srgbClr val="F3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>
        <w:rPr>
          <w:noProof/>
          <w:szCs w:val="16"/>
          <w:rtl/>
        </w:rPr>
        <w:pict>
          <v:shape id="_x0000_s1432" type="#_x0000_t202" style="position:absolute;left:0;text-align:left;margin-left:-33.05pt;margin-top:3.75pt;width:120.15pt;height:25.95pt;z-index:251669504" fillcolor="#feefe2" stroked="f">
            <v:textbox style="mso-next-textbox:#_x0000_s1432">
              <w:txbxContent>
                <w:p w:rsidR="00920E71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6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>Commission économique pour l’Afrique</w:t>
                  </w:r>
                </w:p>
                <w:p w:rsidR="00920E71" w:rsidRPr="007A326A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 xml:space="preserve">Bureau pour l’Afrique du Nord </w:t>
                  </w:r>
                </w:p>
                <w:p w:rsidR="00920E71" w:rsidRPr="007A326A" w:rsidRDefault="00920E71" w:rsidP="00920E71">
                  <w:pPr>
                    <w:rPr>
                      <w:sz w:val="14"/>
                      <w:szCs w:val="14"/>
                      <w:lang w:val="fr-FR"/>
                    </w:rPr>
                  </w:pPr>
                </w:p>
              </w:txbxContent>
            </v:textbox>
          </v:shape>
        </w:pict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24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 xml:space="preserve">Evaluation du processus de l'intégration régionale de l’UMA sur la Convention de Sécurité Sociale et la politique de la migration  </w:t>
      </w: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120" w:after="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>Rabat, 20 et 21 novembre 2013</w:t>
      </w:r>
    </w:p>
    <w:p w:rsidR="00920E71" w:rsidRPr="00847FEC" w:rsidRDefault="00920E71" w:rsidP="00920E71">
      <w:pPr>
        <w:tabs>
          <w:tab w:val="num" w:pos="284"/>
        </w:tabs>
        <w:ind w:left="284" w:right="368"/>
        <w:jc w:val="center"/>
        <w:rPr>
          <w:sz w:val="18"/>
          <w:szCs w:val="10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 xml:space="preserve">Omar </w:t>
      </w:r>
      <w:proofErr w:type="spellStart"/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Abdourrahmane</w:t>
      </w:r>
      <w:proofErr w:type="spellEnd"/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  <w:t>CEA-AN</w:t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Pr="006A5DD4" w:rsidRDefault="00920E71" w:rsidP="00920E71">
      <w:pPr>
        <w:jc w:val="center"/>
        <w:rPr>
          <w:szCs w:val="16"/>
          <w:lang w:val="fr-FR"/>
        </w:rPr>
      </w:pPr>
      <w:r>
        <w:rPr>
          <w:noProof/>
          <w:szCs w:val="16"/>
          <w:rtl/>
          <w:lang w:bidi="ar-SA"/>
        </w:rPr>
        <w:drawing>
          <wp:inline distT="0" distB="0" distL="0" distR="0">
            <wp:extent cx="1974206" cy="576375"/>
            <wp:effectExtent l="19050" t="0" r="6994" b="0"/>
            <wp:docPr id="1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06" cy="5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5C" w:rsidRDefault="000A2A5C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  <w:r w:rsidRPr="007A326A">
        <w:rPr>
          <w:szCs w:val="16"/>
          <w:rtl/>
          <w:lang w:val="fr-FR"/>
        </w:rPr>
        <w:lastRenderedPageBreak/>
        <w:drawing>
          <wp:anchor distT="0" distB="0" distL="114935" distR="114935" simplePos="0" relativeHeight="25167360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25400</wp:posOffset>
            </wp:positionV>
            <wp:extent cx="277495" cy="238125"/>
            <wp:effectExtent l="19050" t="0" r="8255" b="0"/>
            <wp:wrapSquare wrapText="bothSides"/>
            <wp:docPr id="1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3FFFD"/>
                        </a:clrFrom>
                        <a:clrTo>
                          <a:srgbClr val="F3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>
        <w:rPr>
          <w:noProof/>
          <w:szCs w:val="16"/>
          <w:rtl/>
        </w:rPr>
        <w:pict>
          <v:shape id="_x0000_s1433" type="#_x0000_t202" style="position:absolute;left:0;text-align:left;margin-left:-33.05pt;margin-top:3.75pt;width:120.15pt;height:25.95pt;z-index:251672576" fillcolor="#feefe2" stroked="f">
            <v:textbox style="mso-next-textbox:#_x0000_s1433">
              <w:txbxContent>
                <w:p w:rsidR="00920E71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6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>Commission économique pour l’Afrique</w:t>
                  </w:r>
                </w:p>
                <w:p w:rsidR="00920E71" w:rsidRPr="007A326A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 xml:space="preserve">Bureau pour l’Afrique du Nord </w:t>
                  </w:r>
                </w:p>
                <w:p w:rsidR="00920E71" w:rsidRPr="007A326A" w:rsidRDefault="00920E71" w:rsidP="00920E71">
                  <w:pPr>
                    <w:rPr>
                      <w:sz w:val="14"/>
                      <w:szCs w:val="14"/>
                      <w:lang w:val="fr-FR"/>
                    </w:rPr>
                  </w:pPr>
                </w:p>
              </w:txbxContent>
            </v:textbox>
          </v:shape>
        </w:pict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24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 xml:space="preserve">Evaluation du processus de l'intégration régionale de l’UMA sur la Convention de Sécurité Sociale et la politique de la migration  </w:t>
      </w:r>
    </w:p>
    <w:p w:rsidR="00920E71" w:rsidRPr="000A2A5C" w:rsidRDefault="00920E71" w:rsidP="000A2A5C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12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>Rabat, 20 et 21 novembre 2013</w:t>
      </w:r>
    </w:p>
    <w:p w:rsidR="00920E71" w:rsidRPr="00847FEC" w:rsidRDefault="00920E71" w:rsidP="00920E71">
      <w:pPr>
        <w:tabs>
          <w:tab w:val="num" w:pos="284"/>
        </w:tabs>
        <w:ind w:left="284" w:right="368"/>
        <w:jc w:val="center"/>
        <w:rPr>
          <w:sz w:val="18"/>
          <w:szCs w:val="10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 xml:space="preserve">Omar </w:t>
      </w:r>
      <w:proofErr w:type="spellStart"/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Abdourrahmane</w:t>
      </w:r>
      <w:proofErr w:type="spellEnd"/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  <w:t>CEA-AN</w:t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Pr="006A5DD4" w:rsidRDefault="00920E71" w:rsidP="00920E71">
      <w:pPr>
        <w:jc w:val="center"/>
        <w:rPr>
          <w:szCs w:val="16"/>
          <w:lang w:val="fr-FR"/>
        </w:rPr>
      </w:pPr>
      <w:r>
        <w:rPr>
          <w:noProof/>
          <w:szCs w:val="16"/>
          <w:rtl/>
          <w:lang w:bidi="ar-SA"/>
        </w:rPr>
        <w:drawing>
          <wp:inline distT="0" distB="0" distL="0" distR="0">
            <wp:extent cx="1974206" cy="576375"/>
            <wp:effectExtent l="19050" t="0" r="6994" b="0"/>
            <wp:docPr id="1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06" cy="5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5C" w:rsidRDefault="000A2A5C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  <w:r w:rsidRPr="007A326A">
        <w:rPr>
          <w:szCs w:val="16"/>
          <w:rtl/>
          <w:lang w:val="fr-FR"/>
        </w:rPr>
        <w:lastRenderedPageBreak/>
        <w:drawing>
          <wp:anchor distT="0" distB="0" distL="114935" distR="114935" simplePos="0" relativeHeight="25167667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25400</wp:posOffset>
            </wp:positionV>
            <wp:extent cx="277495" cy="238125"/>
            <wp:effectExtent l="19050" t="0" r="8255" b="0"/>
            <wp:wrapSquare wrapText="bothSides"/>
            <wp:docPr id="1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3FFFD"/>
                        </a:clrFrom>
                        <a:clrTo>
                          <a:srgbClr val="F3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>
        <w:rPr>
          <w:noProof/>
          <w:szCs w:val="16"/>
          <w:rtl/>
        </w:rPr>
        <w:pict>
          <v:shape id="_x0000_s1434" type="#_x0000_t202" style="position:absolute;left:0;text-align:left;margin-left:-33.05pt;margin-top:3.75pt;width:120.15pt;height:25.95pt;z-index:251675648" fillcolor="#feefe2" stroked="f">
            <v:textbox style="mso-next-textbox:#_x0000_s1434">
              <w:txbxContent>
                <w:p w:rsidR="00920E71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6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>Commission économique pour l’Afrique</w:t>
                  </w:r>
                </w:p>
                <w:p w:rsidR="00920E71" w:rsidRPr="007A326A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 xml:space="preserve">Bureau pour l’Afrique du Nord </w:t>
                  </w:r>
                </w:p>
                <w:p w:rsidR="00920E71" w:rsidRPr="007A326A" w:rsidRDefault="00920E71" w:rsidP="00920E71">
                  <w:pPr>
                    <w:rPr>
                      <w:sz w:val="14"/>
                      <w:szCs w:val="14"/>
                      <w:lang w:val="fr-FR"/>
                    </w:rPr>
                  </w:pPr>
                </w:p>
              </w:txbxContent>
            </v:textbox>
          </v:shape>
        </w:pict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24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 xml:space="preserve">Evaluation du processus de l'intégration régionale de l’UMA sur la Convention de Sécurité Sociale et la politique de la migration  </w:t>
      </w:r>
    </w:p>
    <w:p w:rsidR="00920E71" w:rsidRPr="000A2A5C" w:rsidRDefault="00920E71" w:rsidP="000A2A5C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12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4"/>
          <w:szCs w:val="14"/>
          <w:lang w:val="fr-FR"/>
        </w:rPr>
        <w:t>Rabat, 20 et 21 novembre 2013</w:t>
      </w:r>
    </w:p>
    <w:p w:rsidR="00920E71" w:rsidRPr="00847FEC" w:rsidRDefault="00920E71" w:rsidP="00920E71">
      <w:pPr>
        <w:tabs>
          <w:tab w:val="num" w:pos="284"/>
        </w:tabs>
        <w:ind w:left="284" w:right="368"/>
        <w:jc w:val="center"/>
        <w:rPr>
          <w:sz w:val="18"/>
          <w:szCs w:val="10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 xml:space="preserve">Omar </w:t>
      </w:r>
      <w:proofErr w:type="spellStart"/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Abdourrahmane</w:t>
      </w:r>
      <w:proofErr w:type="spellEnd"/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  <w:t>CEA-AN</w:t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Pr="006A5DD4" w:rsidRDefault="00920E71" w:rsidP="00920E71">
      <w:pPr>
        <w:jc w:val="center"/>
        <w:rPr>
          <w:szCs w:val="16"/>
          <w:lang w:val="fr-FR"/>
        </w:rPr>
      </w:pPr>
      <w:r>
        <w:rPr>
          <w:noProof/>
          <w:szCs w:val="16"/>
          <w:rtl/>
          <w:lang w:bidi="ar-SA"/>
        </w:rPr>
        <w:drawing>
          <wp:inline distT="0" distB="0" distL="0" distR="0">
            <wp:extent cx="1974206" cy="576375"/>
            <wp:effectExtent l="19050" t="0" r="6994" b="0"/>
            <wp:docPr id="1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06" cy="5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5C" w:rsidRDefault="000A2A5C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3E7982">
      <w:pPr>
        <w:spacing w:after="120"/>
        <w:ind w:left="227" w:right="142"/>
        <w:jc w:val="center"/>
        <w:rPr>
          <w:szCs w:val="16"/>
          <w:lang w:val="fr-FR"/>
        </w:rPr>
      </w:pPr>
      <w:r w:rsidRPr="007A326A">
        <w:rPr>
          <w:szCs w:val="16"/>
          <w:rtl/>
          <w:lang w:val="fr-FR"/>
        </w:rPr>
        <w:lastRenderedPageBreak/>
        <w:drawing>
          <wp:anchor distT="0" distB="0" distL="114935" distR="114935" simplePos="0" relativeHeight="25167974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25400</wp:posOffset>
            </wp:positionV>
            <wp:extent cx="277495" cy="238125"/>
            <wp:effectExtent l="19050" t="0" r="8255" b="0"/>
            <wp:wrapSquare wrapText="bothSides"/>
            <wp:docPr id="2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3FFFD"/>
                        </a:clrFrom>
                        <a:clrTo>
                          <a:srgbClr val="F3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>
        <w:rPr>
          <w:noProof/>
          <w:szCs w:val="16"/>
          <w:rtl/>
        </w:rPr>
        <w:pict>
          <v:shape id="_x0000_s1435" type="#_x0000_t202" style="position:absolute;left:0;text-align:left;margin-left:-33.05pt;margin-top:3.75pt;width:120.15pt;height:27.65pt;z-index:251678720" fillcolor="#feefe2" stroked="f">
            <v:textbox style="mso-next-textbox:#_x0000_s1435">
              <w:txbxContent>
                <w:p w:rsidR="00920E71" w:rsidRDefault="00920E71" w:rsidP="000A2A5C">
                  <w:pPr>
                    <w:pStyle w:val="Titre1"/>
                    <w:numPr>
                      <w:ilvl w:val="0"/>
                      <w:numId w:val="0"/>
                    </w:numPr>
                    <w:spacing w:before="12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>Commission économique pour l’Afrique</w:t>
                  </w:r>
                </w:p>
                <w:p w:rsidR="00920E71" w:rsidRPr="007A326A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 xml:space="preserve">Bureau pour l’Afrique du Nord </w:t>
                  </w:r>
                </w:p>
                <w:p w:rsidR="00920E71" w:rsidRPr="007A326A" w:rsidRDefault="00920E71" w:rsidP="00920E71">
                  <w:pPr>
                    <w:rPr>
                      <w:sz w:val="14"/>
                      <w:szCs w:val="14"/>
                      <w:lang w:val="fr-FR"/>
                    </w:rPr>
                  </w:pPr>
                </w:p>
              </w:txbxContent>
            </v:textbox>
          </v:shape>
        </w:pict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24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6"/>
          <w:szCs w:val="16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6"/>
          <w:szCs w:val="16"/>
          <w:lang w:val="fr-FR"/>
        </w:rPr>
        <w:t xml:space="preserve">Evaluation du processus de l'intégration régionale de l’UMA sur la Convention de Sécurité Sociale et la politique de la migration  </w:t>
      </w: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120" w:after="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2"/>
          <w:szCs w:val="12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2"/>
          <w:szCs w:val="12"/>
          <w:lang w:val="fr-FR"/>
        </w:rPr>
        <w:t>Rabat, 20 et 21 novembre 2013</w:t>
      </w:r>
    </w:p>
    <w:p w:rsidR="00920E71" w:rsidRPr="00847FEC" w:rsidRDefault="00920E71" w:rsidP="00920E71">
      <w:pPr>
        <w:tabs>
          <w:tab w:val="num" w:pos="284"/>
        </w:tabs>
        <w:ind w:left="284" w:right="368"/>
        <w:jc w:val="center"/>
        <w:rPr>
          <w:sz w:val="18"/>
          <w:szCs w:val="10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 xml:space="preserve">Omar </w:t>
      </w:r>
      <w:proofErr w:type="spellStart"/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Abdourrahmane</w:t>
      </w:r>
      <w:proofErr w:type="spellEnd"/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  <w:t>CEA-AN</w:t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Pr="006A5DD4" w:rsidRDefault="00920E71" w:rsidP="00920E71">
      <w:pPr>
        <w:jc w:val="center"/>
        <w:rPr>
          <w:szCs w:val="16"/>
          <w:lang w:val="fr-FR"/>
        </w:rPr>
      </w:pPr>
      <w:r>
        <w:rPr>
          <w:noProof/>
          <w:szCs w:val="16"/>
          <w:rtl/>
          <w:lang w:bidi="ar-SA"/>
        </w:rPr>
        <w:drawing>
          <wp:inline distT="0" distB="0" distL="0" distR="0">
            <wp:extent cx="1974206" cy="576375"/>
            <wp:effectExtent l="19050" t="0" r="6994" b="0"/>
            <wp:docPr id="2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06" cy="5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  <w:r w:rsidRPr="007A326A">
        <w:rPr>
          <w:szCs w:val="16"/>
          <w:rtl/>
          <w:lang w:val="fr-FR"/>
        </w:rPr>
        <w:lastRenderedPageBreak/>
        <w:drawing>
          <wp:anchor distT="0" distB="0" distL="114935" distR="114935" simplePos="0" relativeHeight="251682816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25400</wp:posOffset>
            </wp:positionV>
            <wp:extent cx="277495" cy="238125"/>
            <wp:effectExtent l="19050" t="0" r="8255" b="0"/>
            <wp:wrapSquare wrapText="bothSides"/>
            <wp:docPr id="2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3FFFD"/>
                        </a:clrFrom>
                        <a:clrTo>
                          <a:srgbClr val="F3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>
        <w:rPr>
          <w:noProof/>
          <w:szCs w:val="16"/>
          <w:rtl/>
        </w:rPr>
        <w:pict>
          <v:shape id="_x0000_s1436" type="#_x0000_t202" style="position:absolute;left:0;text-align:left;margin-left:-33.05pt;margin-top:3.75pt;width:120.15pt;height:30.05pt;z-index:251681792" fillcolor="#feefe2" stroked="f">
            <v:textbox style="mso-next-textbox:#_x0000_s1436">
              <w:txbxContent>
                <w:p w:rsidR="00920E71" w:rsidRDefault="00920E71" w:rsidP="000A2A5C">
                  <w:pPr>
                    <w:pStyle w:val="Titre1"/>
                    <w:numPr>
                      <w:ilvl w:val="0"/>
                      <w:numId w:val="0"/>
                    </w:numPr>
                    <w:spacing w:before="12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>Commission économique pour l’Afrique</w:t>
                  </w:r>
                </w:p>
                <w:p w:rsidR="00920E71" w:rsidRPr="007A326A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 xml:space="preserve">Bureau pour l’Afrique du Nord </w:t>
                  </w:r>
                </w:p>
                <w:p w:rsidR="00920E71" w:rsidRPr="007A326A" w:rsidRDefault="00920E71" w:rsidP="00920E71">
                  <w:pPr>
                    <w:rPr>
                      <w:sz w:val="14"/>
                      <w:szCs w:val="14"/>
                      <w:lang w:val="fr-FR"/>
                    </w:rPr>
                  </w:pPr>
                </w:p>
              </w:txbxContent>
            </v:textbox>
          </v:shape>
        </w:pict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24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6"/>
          <w:szCs w:val="16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6"/>
          <w:szCs w:val="16"/>
          <w:lang w:val="fr-FR"/>
        </w:rPr>
        <w:t xml:space="preserve">Evaluation du processus de l'intégration régionale de l’UMA sur la Convention de Sécurité Sociale et la politique de la migration  </w:t>
      </w: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120" w:after="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2"/>
          <w:szCs w:val="12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2"/>
          <w:szCs w:val="12"/>
          <w:lang w:val="fr-FR"/>
        </w:rPr>
        <w:t>Rabat, 20 et 21 novembre 2013</w:t>
      </w:r>
    </w:p>
    <w:p w:rsidR="00920E71" w:rsidRPr="00847FEC" w:rsidRDefault="00920E71" w:rsidP="00920E71">
      <w:pPr>
        <w:tabs>
          <w:tab w:val="num" w:pos="284"/>
        </w:tabs>
        <w:ind w:left="284" w:right="368"/>
        <w:jc w:val="center"/>
        <w:rPr>
          <w:sz w:val="18"/>
          <w:szCs w:val="10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 xml:space="preserve">Omar </w:t>
      </w:r>
      <w:proofErr w:type="spellStart"/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Abdourrahmane</w:t>
      </w:r>
      <w:proofErr w:type="spellEnd"/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  <w:t>CEA-AN</w:t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Pr="006A5DD4" w:rsidRDefault="00920E71" w:rsidP="00920E71">
      <w:pPr>
        <w:jc w:val="center"/>
        <w:rPr>
          <w:szCs w:val="16"/>
          <w:lang w:val="fr-FR"/>
        </w:rPr>
      </w:pPr>
      <w:r>
        <w:rPr>
          <w:noProof/>
          <w:szCs w:val="16"/>
          <w:rtl/>
          <w:lang w:bidi="ar-SA"/>
        </w:rPr>
        <w:drawing>
          <wp:inline distT="0" distB="0" distL="0" distR="0">
            <wp:extent cx="1974206" cy="576375"/>
            <wp:effectExtent l="19050" t="0" r="6994" b="0"/>
            <wp:docPr id="2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06" cy="5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  <w:r w:rsidRPr="007A326A">
        <w:rPr>
          <w:szCs w:val="16"/>
          <w:rtl/>
          <w:lang w:val="fr-FR"/>
        </w:rPr>
        <w:lastRenderedPageBreak/>
        <w:drawing>
          <wp:anchor distT="0" distB="0" distL="114935" distR="114935" simplePos="0" relativeHeight="25168588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25400</wp:posOffset>
            </wp:positionV>
            <wp:extent cx="277495" cy="238125"/>
            <wp:effectExtent l="19050" t="0" r="8255" b="0"/>
            <wp:wrapSquare wrapText="bothSides"/>
            <wp:docPr id="2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3FFFD"/>
                        </a:clrFrom>
                        <a:clrTo>
                          <a:srgbClr val="F3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>
        <w:rPr>
          <w:noProof/>
          <w:szCs w:val="16"/>
          <w:rtl/>
        </w:rPr>
        <w:pict>
          <v:shape id="_x0000_s1437" type="#_x0000_t202" style="position:absolute;left:0;text-align:left;margin-left:-33.05pt;margin-top:3.75pt;width:120.15pt;height:28.35pt;z-index:251684864" fillcolor="#feefe2" stroked="f">
            <v:textbox style="mso-next-textbox:#_x0000_s1437">
              <w:txbxContent>
                <w:p w:rsidR="00920E71" w:rsidRDefault="00920E71" w:rsidP="000A2A5C">
                  <w:pPr>
                    <w:pStyle w:val="Titre1"/>
                    <w:numPr>
                      <w:ilvl w:val="0"/>
                      <w:numId w:val="0"/>
                    </w:numPr>
                    <w:spacing w:before="12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>Commission économique pour l’Afrique</w:t>
                  </w:r>
                </w:p>
                <w:p w:rsidR="00920E71" w:rsidRPr="007A326A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 xml:space="preserve">Bureau pour l’Afrique du Nord </w:t>
                  </w:r>
                </w:p>
                <w:p w:rsidR="00920E71" w:rsidRPr="007A326A" w:rsidRDefault="00920E71" w:rsidP="00920E71">
                  <w:pPr>
                    <w:rPr>
                      <w:sz w:val="14"/>
                      <w:szCs w:val="14"/>
                      <w:lang w:val="fr-FR"/>
                    </w:rPr>
                  </w:pPr>
                </w:p>
              </w:txbxContent>
            </v:textbox>
          </v:shape>
        </w:pict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24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6"/>
          <w:szCs w:val="16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6"/>
          <w:szCs w:val="16"/>
          <w:lang w:val="fr-FR"/>
        </w:rPr>
        <w:t xml:space="preserve">Evaluation du processus de l'intégration régionale de l’UMA sur la Convention de Sécurité Sociale et la politique de la migration  </w:t>
      </w: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120" w:after="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2"/>
          <w:szCs w:val="12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2"/>
          <w:szCs w:val="12"/>
          <w:lang w:val="fr-FR"/>
        </w:rPr>
        <w:t>Rabat, 20 et 21 novembre 2013</w:t>
      </w:r>
    </w:p>
    <w:p w:rsidR="00920E71" w:rsidRPr="00847FEC" w:rsidRDefault="00920E71" w:rsidP="00920E71">
      <w:pPr>
        <w:tabs>
          <w:tab w:val="num" w:pos="284"/>
        </w:tabs>
        <w:ind w:left="284" w:right="368"/>
        <w:jc w:val="center"/>
        <w:rPr>
          <w:sz w:val="18"/>
          <w:szCs w:val="10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 xml:space="preserve">Omar </w:t>
      </w:r>
      <w:proofErr w:type="spellStart"/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Abdourrahmane</w:t>
      </w:r>
      <w:proofErr w:type="spellEnd"/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  <w:t>CEA-AN</w:t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Pr="006A5DD4" w:rsidRDefault="00920E71" w:rsidP="00920E71">
      <w:pPr>
        <w:jc w:val="center"/>
        <w:rPr>
          <w:szCs w:val="16"/>
          <w:lang w:val="fr-FR"/>
        </w:rPr>
      </w:pPr>
      <w:r>
        <w:rPr>
          <w:noProof/>
          <w:szCs w:val="16"/>
          <w:rtl/>
          <w:lang w:bidi="ar-SA"/>
        </w:rPr>
        <w:drawing>
          <wp:inline distT="0" distB="0" distL="0" distR="0">
            <wp:extent cx="1974206" cy="576375"/>
            <wp:effectExtent l="19050" t="0" r="6994" b="0"/>
            <wp:docPr id="45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06" cy="5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  <w:r w:rsidRPr="007A326A">
        <w:rPr>
          <w:szCs w:val="16"/>
          <w:rtl/>
          <w:lang w:val="fr-FR"/>
        </w:rPr>
        <w:lastRenderedPageBreak/>
        <w:drawing>
          <wp:anchor distT="0" distB="0" distL="114935" distR="114935" simplePos="0" relativeHeight="25168896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25400</wp:posOffset>
            </wp:positionV>
            <wp:extent cx="277495" cy="238125"/>
            <wp:effectExtent l="19050" t="0" r="8255" b="0"/>
            <wp:wrapSquare wrapText="bothSides"/>
            <wp:docPr id="3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3FFFD"/>
                        </a:clrFrom>
                        <a:clrTo>
                          <a:srgbClr val="F3FF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  <w:r>
        <w:rPr>
          <w:noProof/>
          <w:szCs w:val="16"/>
          <w:rtl/>
        </w:rPr>
        <w:pict>
          <v:shape id="_x0000_s1438" type="#_x0000_t202" style="position:absolute;left:0;text-align:left;margin-left:-33.05pt;margin-top:3.75pt;width:120.15pt;height:28.35pt;z-index:251687936" fillcolor="#feefe2" stroked="f">
            <v:textbox style="mso-next-textbox:#_x0000_s1438">
              <w:txbxContent>
                <w:p w:rsidR="00920E71" w:rsidRDefault="00920E71" w:rsidP="000A2A5C">
                  <w:pPr>
                    <w:pStyle w:val="Titre1"/>
                    <w:numPr>
                      <w:ilvl w:val="0"/>
                      <w:numId w:val="0"/>
                    </w:numPr>
                    <w:spacing w:before="12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>Commission économique pour l’Afrique</w:t>
                  </w:r>
                </w:p>
                <w:p w:rsidR="00920E71" w:rsidRPr="007A326A" w:rsidRDefault="00920E71" w:rsidP="00920E71">
                  <w:pPr>
                    <w:pStyle w:val="Titre1"/>
                    <w:numPr>
                      <w:ilvl w:val="0"/>
                      <w:numId w:val="0"/>
                    </w:numPr>
                    <w:spacing w:before="0" w:after="0" w:line="276" w:lineRule="auto"/>
                    <w:ind w:left="-142"/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</w:pPr>
                  <w:r w:rsidRPr="007A326A">
                    <w:rPr>
                      <w:rFonts w:ascii="Eurostile" w:hAnsi="Eurostile" w:cs="Times New Roman"/>
                      <w:color w:val="31849B" w:themeColor="accent5" w:themeShade="BF"/>
                      <w:kern w:val="0"/>
                      <w:sz w:val="12"/>
                      <w:szCs w:val="12"/>
                    </w:rPr>
                    <w:t xml:space="preserve">Bureau pour l’Afrique du Nord </w:t>
                  </w:r>
                </w:p>
                <w:p w:rsidR="00920E71" w:rsidRPr="007A326A" w:rsidRDefault="00920E71" w:rsidP="00920E71">
                  <w:pPr>
                    <w:rPr>
                      <w:sz w:val="14"/>
                      <w:szCs w:val="14"/>
                      <w:lang w:val="fr-FR"/>
                    </w:rPr>
                  </w:pPr>
                </w:p>
              </w:txbxContent>
            </v:textbox>
          </v:shape>
        </w:pict>
      </w:r>
    </w:p>
    <w:p w:rsidR="00920E71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0" w:after="120" w:line="276" w:lineRule="auto"/>
        <w:ind w:left="284" w:right="368" w:firstLine="0"/>
        <w:rPr>
          <w:rFonts w:ascii="Eurostile" w:hAnsi="Eurostile"/>
          <w:b/>
          <w:bCs/>
          <w:color w:val="76923C" w:themeColor="accent3" w:themeShade="BF"/>
          <w:sz w:val="14"/>
          <w:szCs w:val="14"/>
          <w:lang w:val="fr-FR"/>
        </w:rPr>
      </w:pP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240" w:after="12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6"/>
          <w:szCs w:val="16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6"/>
          <w:szCs w:val="16"/>
          <w:lang w:val="fr-FR"/>
        </w:rPr>
        <w:t xml:space="preserve">Evaluation du processus de l'intégration régionale de l’UMA sur la Convention de Sécurité Sociale et la politique de la migration  </w:t>
      </w:r>
    </w:p>
    <w:p w:rsidR="00920E71" w:rsidRPr="000A2A5C" w:rsidRDefault="00920E71" w:rsidP="00920E71">
      <w:pPr>
        <w:pStyle w:val="NormalWeb"/>
        <w:numPr>
          <w:ilvl w:val="0"/>
          <w:numId w:val="5"/>
        </w:numPr>
        <w:tabs>
          <w:tab w:val="clear" w:pos="720"/>
          <w:tab w:val="num" w:pos="284"/>
        </w:tabs>
        <w:spacing w:before="120" w:after="0" w:line="276" w:lineRule="auto"/>
        <w:ind w:left="284" w:right="368" w:firstLine="0"/>
        <w:rPr>
          <w:rFonts w:ascii="Eurostile" w:hAnsi="Eurostile"/>
          <w:b/>
          <w:bCs/>
          <w:color w:val="548DD4" w:themeColor="text2" w:themeTint="99"/>
          <w:sz w:val="12"/>
          <w:szCs w:val="12"/>
          <w:lang w:val="fr-FR"/>
        </w:rPr>
      </w:pPr>
      <w:r w:rsidRPr="000A2A5C">
        <w:rPr>
          <w:rFonts w:ascii="Eurostile" w:hAnsi="Eurostile"/>
          <w:b/>
          <w:bCs/>
          <w:color w:val="548DD4" w:themeColor="text2" w:themeTint="99"/>
          <w:sz w:val="12"/>
          <w:szCs w:val="12"/>
          <w:lang w:val="fr-FR"/>
        </w:rPr>
        <w:t>Rabat, 20 et 21 novembre 2013</w:t>
      </w:r>
    </w:p>
    <w:p w:rsidR="00920E71" w:rsidRPr="00847FEC" w:rsidRDefault="00920E71" w:rsidP="00920E71">
      <w:pPr>
        <w:tabs>
          <w:tab w:val="num" w:pos="284"/>
        </w:tabs>
        <w:ind w:left="284" w:right="368"/>
        <w:jc w:val="center"/>
        <w:rPr>
          <w:sz w:val="18"/>
          <w:szCs w:val="10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szCs w:val="16"/>
          <w:lang w:val="fr-FR"/>
        </w:rPr>
      </w:pPr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 xml:space="preserve">Omar </w:t>
      </w:r>
      <w:proofErr w:type="spellStart"/>
      <w:r w:rsidRPr="00920E71">
        <w:rPr>
          <w:rFonts w:asciiTheme="minorBidi" w:hAnsiTheme="minorBidi" w:cstheme="minorBidi"/>
          <w:b/>
          <w:bCs/>
          <w:color w:val="215868" w:themeColor="accent5" w:themeShade="80"/>
          <w:szCs w:val="16"/>
          <w:lang w:val="fr-FR"/>
        </w:rPr>
        <w:t>Abdourrahmane</w:t>
      </w:r>
      <w:proofErr w:type="spellEnd"/>
    </w:p>
    <w:p w:rsidR="00920E71" w:rsidRPr="00920E71" w:rsidRDefault="00920E71" w:rsidP="00920E71">
      <w:pPr>
        <w:ind w:left="85" w:right="142"/>
        <w:jc w:val="center"/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</w:pPr>
      <w:r w:rsidRPr="00920E71">
        <w:rPr>
          <w:rFonts w:asciiTheme="minorBidi" w:hAnsiTheme="minorBidi" w:cstheme="minorBidi"/>
          <w:b/>
          <w:bCs/>
          <w:color w:val="215868" w:themeColor="accent5" w:themeShade="80"/>
          <w:sz w:val="36"/>
          <w:szCs w:val="22"/>
          <w:lang w:val="fr-FR"/>
        </w:rPr>
        <w:t>CEA-AN</w:t>
      </w: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Default="00920E71" w:rsidP="00920E71">
      <w:pPr>
        <w:ind w:left="227" w:right="142"/>
        <w:jc w:val="center"/>
        <w:rPr>
          <w:szCs w:val="16"/>
          <w:lang w:val="fr-FR"/>
        </w:rPr>
      </w:pPr>
    </w:p>
    <w:p w:rsidR="00920E71" w:rsidRPr="006A5DD4" w:rsidRDefault="00920E71" w:rsidP="00920E71">
      <w:pPr>
        <w:jc w:val="center"/>
        <w:rPr>
          <w:szCs w:val="16"/>
          <w:lang w:val="fr-FR"/>
        </w:rPr>
      </w:pPr>
      <w:r>
        <w:rPr>
          <w:noProof/>
          <w:szCs w:val="16"/>
          <w:rtl/>
          <w:lang w:bidi="ar-SA"/>
        </w:rPr>
        <w:drawing>
          <wp:inline distT="0" distB="0" distL="0" distR="0">
            <wp:extent cx="1974206" cy="576375"/>
            <wp:effectExtent l="19050" t="0" r="6994" b="0"/>
            <wp:docPr id="5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06" cy="5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E71" w:rsidRDefault="00920E71">
      <w:pPr>
        <w:bidi w:val="0"/>
        <w:rPr>
          <w:szCs w:val="16"/>
          <w:rtl/>
          <w:lang w:val="fr-FR"/>
        </w:rPr>
      </w:pP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>
      <w:pPr>
        <w:bidi w:val="0"/>
        <w:rPr>
          <w:szCs w:val="16"/>
          <w:rtl/>
          <w:lang w:val="fr-FR"/>
        </w:rPr>
      </w:pPr>
      <w:r>
        <w:rPr>
          <w:szCs w:val="16"/>
          <w:rtl/>
          <w:lang w:val="fr-FR"/>
        </w:rPr>
        <w:lastRenderedPageBreak/>
        <w:br w:type="page"/>
      </w:r>
    </w:p>
    <w:p w:rsidR="00920E71" w:rsidRDefault="00920E71" w:rsidP="006A5DD4">
      <w:pPr>
        <w:ind w:left="227" w:right="142"/>
        <w:jc w:val="center"/>
        <w:rPr>
          <w:szCs w:val="16"/>
          <w:lang w:val="fr-FR"/>
        </w:rPr>
      </w:pPr>
    </w:p>
    <w:p w:rsidR="00847FEC" w:rsidRPr="006A5DD4" w:rsidRDefault="00847FEC" w:rsidP="00847FEC">
      <w:pPr>
        <w:jc w:val="center"/>
        <w:rPr>
          <w:szCs w:val="16"/>
          <w:lang w:val="fr-FR"/>
        </w:rPr>
      </w:pPr>
    </w:p>
    <w:sectPr w:rsidR="00847FEC" w:rsidRPr="006A5DD4" w:rsidSect="00920E71">
      <w:pgSz w:w="3062" w:h="4876" w:code="9"/>
      <w:pgMar w:top="0" w:right="0" w:bottom="56" w:left="0" w:header="284" w:footer="28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D5A" w:rsidRDefault="00A95D5A" w:rsidP="00883BEC">
      <w:r>
        <w:separator/>
      </w:r>
    </w:p>
  </w:endnote>
  <w:endnote w:type="continuationSeparator" w:id="0">
    <w:p w:rsidR="00A95D5A" w:rsidRDefault="00A95D5A" w:rsidP="00883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D5A" w:rsidRDefault="00A95D5A" w:rsidP="00883BEC">
      <w:r>
        <w:separator/>
      </w:r>
    </w:p>
  </w:footnote>
  <w:footnote w:type="continuationSeparator" w:id="0">
    <w:p w:rsidR="00A95D5A" w:rsidRDefault="00A95D5A" w:rsidP="00883B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8" type="#_x0000_t75" style="width:3in;height:3in" o:bullet="t">
        <v:imagedata r:id="rId1" o:title=""/>
      </v:shape>
    </w:pict>
  </w:numPicBullet>
  <w:numPicBullet w:numPicBulletId="1">
    <w:pict>
      <v:shape id="_x0000_i1169" type="#_x0000_t75" style="width:3in;height:3in" o:bullet="t">
        <v:imagedata r:id="rId2" o:title="Logo NU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72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2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2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216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2304" w:hanging="1584"/>
      </w:pPr>
    </w:lvl>
  </w:abstractNum>
  <w:abstractNum w:abstractNumId="1">
    <w:nsid w:val="47B126F3"/>
    <w:multiLevelType w:val="hybridMultilevel"/>
    <w:tmpl w:val="9B72D26C"/>
    <w:lvl w:ilvl="0" w:tplc="2B0A702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80883"/>
    <w:multiLevelType w:val="hybridMultilevel"/>
    <w:tmpl w:val="510A3BA0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92DBE"/>
    <w:multiLevelType w:val="hybridMultilevel"/>
    <w:tmpl w:val="0A301C8E"/>
    <w:lvl w:ilvl="0" w:tplc="F97476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C021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E64B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CAD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488F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3647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E03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65B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D8A3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A821883"/>
    <w:multiLevelType w:val="hybridMultilevel"/>
    <w:tmpl w:val="C14CFC40"/>
    <w:lvl w:ilvl="0" w:tplc="C28E3DA4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isplayBackgroundShape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811E0"/>
    <w:rsid w:val="00005784"/>
    <w:rsid w:val="00005E47"/>
    <w:rsid w:val="00015E3D"/>
    <w:rsid w:val="00016056"/>
    <w:rsid w:val="00016DDB"/>
    <w:rsid w:val="00020A08"/>
    <w:rsid w:val="000212E4"/>
    <w:rsid w:val="00021F01"/>
    <w:rsid w:val="000304DF"/>
    <w:rsid w:val="00030C71"/>
    <w:rsid w:val="00034378"/>
    <w:rsid w:val="00035E97"/>
    <w:rsid w:val="00041B83"/>
    <w:rsid w:val="0004321A"/>
    <w:rsid w:val="00046F00"/>
    <w:rsid w:val="00050637"/>
    <w:rsid w:val="000659BA"/>
    <w:rsid w:val="00066048"/>
    <w:rsid w:val="00067041"/>
    <w:rsid w:val="00067C1D"/>
    <w:rsid w:val="00072B5E"/>
    <w:rsid w:val="00073DEB"/>
    <w:rsid w:val="00083AB8"/>
    <w:rsid w:val="0008461D"/>
    <w:rsid w:val="00092CCE"/>
    <w:rsid w:val="000A2A5C"/>
    <w:rsid w:val="000A61E4"/>
    <w:rsid w:val="000B0E29"/>
    <w:rsid w:val="000B11E4"/>
    <w:rsid w:val="000C1AE6"/>
    <w:rsid w:val="000C39A7"/>
    <w:rsid w:val="000C48E7"/>
    <w:rsid w:val="000C5956"/>
    <w:rsid w:val="000C67E0"/>
    <w:rsid w:val="000C6E9B"/>
    <w:rsid w:val="000D239D"/>
    <w:rsid w:val="000D4173"/>
    <w:rsid w:val="000E34AE"/>
    <w:rsid w:val="000F2103"/>
    <w:rsid w:val="000F6BED"/>
    <w:rsid w:val="000F6DB2"/>
    <w:rsid w:val="0010442B"/>
    <w:rsid w:val="00105656"/>
    <w:rsid w:val="0010747D"/>
    <w:rsid w:val="001129EE"/>
    <w:rsid w:val="0012130D"/>
    <w:rsid w:val="00123E51"/>
    <w:rsid w:val="001244EB"/>
    <w:rsid w:val="001266A3"/>
    <w:rsid w:val="00135F01"/>
    <w:rsid w:val="00144B89"/>
    <w:rsid w:val="0015721D"/>
    <w:rsid w:val="00167085"/>
    <w:rsid w:val="001676A2"/>
    <w:rsid w:val="00171527"/>
    <w:rsid w:val="001721D6"/>
    <w:rsid w:val="00174902"/>
    <w:rsid w:val="001756A1"/>
    <w:rsid w:val="00177F89"/>
    <w:rsid w:val="001811E0"/>
    <w:rsid w:val="001843AA"/>
    <w:rsid w:val="001856DA"/>
    <w:rsid w:val="00186B09"/>
    <w:rsid w:val="00191911"/>
    <w:rsid w:val="0019302A"/>
    <w:rsid w:val="00195493"/>
    <w:rsid w:val="00195A60"/>
    <w:rsid w:val="001970DF"/>
    <w:rsid w:val="001A71D5"/>
    <w:rsid w:val="001B5102"/>
    <w:rsid w:val="001B6D62"/>
    <w:rsid w:val="001B7DFA"/>
    <w:rsid w:val="001C12B0"/>
    <w:rsid w:val="001C1F00"/>
    <w:rsid w:val="001C2568"/>
    <w:rsid w:val="001C695D"/>
    <w:rsid w:val="001D1740"/>
    <w:rsid w:val="001D5372"/>
    <w:rsid w:val="001D6032"/>
    <w:rsid w:val="001E24D7"/>
    <w:rsid w:val="001E3931"/>
    <w:rsid w:val="001E39FF"/>
    <w:rsid w:val="001F1729"/>
    <w:rsid w:val="001F46FB"/>
    <w:rsid w:val="001F500D"/>
    <w:rsid w:val="002237E3"/>
    <w:rsid w:val="002264B1"/>
    <w:rsid w:val="0022667E"/>
    <w:rsid w:val="002270AB"/>
    <w:rsid w:val="0023480C"/>
    <w:rsid w:val="00236A8A"/>
    <w:rsid w:val="00236BE9"/>
    <w:rsid w:val="002428AB"/>
    <w:rsid w:val="002452E2"/>
    <w:rsid w:val="00251582"/>
    <w:rsid w:val="00254E65"/>
    <w:rsid w:val="002556B5"/>
    <w:rsid w:val="002700E0"/>
    <w:rsid w:val="002719AC"/>
    <w:rsid w:val="002752D1"/>
    <w:rsid w:val="0028136C"/>
    <w:rsid w:val="00285951"/>
    <w:rsid w:val="00285B29"/>
    <w:rsid w:val="0029244A"/>
    <w:rsid w:val="00295FA9"/>
    <w:rsid w:val="00296488"/>
    <w:rsid w:val="00296BB6"/>
    <w:rsid w:val="002A00F4"/>
    <w:rsid w:val="002A3CA0"/>
    <w:rsid w:val="002A5FF2"/>
    <w:rsid w:val="002B3895"/>
    <w:rsid w:val="002B442D"/>
    <w:rsid w:val="002C4DB3"/>
    <w:rsid w:val="002C7634"/>
    <w:rsid w:val="002C788F"/>
    <w:rsid w:val="002C7B47"/>
    <w:rsid w:val="002D2B2E"/>
    <w:rsid w:val="002D5DEE"/>
    <w:rsid w:val="002D71D7"/>
    <w:rsid w:val="002E139F"/>
    <w:rsid w:val="002E25AC"/>
    <w:rsid w:val="002E4098"/>
    <w:rsid w:val="002E4E11"/>
    <w:rsid w:val="002E679E"/>
    <w:rsid w:val="002E782D"/>
    <w:rsid w:val="002F223A"/>
    <w:rsid w:val="003077B7"/>
    <w:rsid w:val="00311DD7"/>
    <w:rsid w:val="00315DD0"/>
    <w:rsid w:val="00317946"/>
    <w:rsid w:val="00321B42"/>
    <w:rsid w:val="003236A1"/>
    <w:rsid w:val="00330B65"/>
    <w:rsid w:val="00332595"/>
    <w:rsid w:val="00333185"/>
    <w:rsid w:val="00336330"/>
    <w:rsid w:val="00336400"/>
    <w:rsid w:val="003405A4"/>
    <w:rsid w:val="00341249"/>
    <w:rsid w:val="00341789"/>
    <w:rsid w:val="003501A5"/>
    <w:rsid w:val="003556B1"/>
    <w:rsid w:val="00357FB6"/>
    <w:rsid w:val="00362AED"/>
    <w:rsid w:val="00363613"/>
    <w:rsid w:val="0036416A"/>
    <w:rsid w:val="00367503"/>
    <w:rsid w:val="0037275B"/>
    <w:rsid w:val="0037303E"/>
    <w:rsid w:val="00373F2D"/>
    <w:rsid w:val="003759B4"/>
    <w:rsid w:val="00375B81"/>
    <w:rsid w:val="0038115A"/>
    <w:rsid w:val="00392127"/>
    <w:rsid w:val="00396A80"/>
    <w:rsid w:val="003A1B4B"/>
    <w:rsid w:val="003A61DC"/>
    <w:rsid w:val="003A6A0F"/>
    <w:rsid w:val="003A79FB"/>
    <w:rsid w:val="003B27B1"/>
    <w:rsid w:val="003B5BE2"/>
    <w:rsid w:val="003B7A7A"/>
    <w:rsid w:val="003C4985"/>
    <w:rsid w:val="003C5A9D"/>
    <w:rsid w:val="003C5B57"/>
    <w:rsid w:val="003D1A76"/>
    <w:rsid w:val="003D24D8"/>
    <w:rsid w:val="003D2EFE"/>
    <w:rsid w:val="003D3E8D"/>
    <w:rsid w:val="003E37BC"/>
    <w:rsid w:val="003E4402"/>
    <w:rsid w:val="003E6D2C"/>
    <w:rsid w:val="003E7982"/>
    <w:rsid w:val="003F5110"/>
    <w:rsid w:val="003F673C"/>
    <w:rsid w:val="003F72E5"/>
    <w:rsid w:val="004019A4"/>
    <w:rsid w:val="00403598"/>
    <w:rsid w:val="00406148"/>
    <w:rsid w:val="00406541"/>
    <w:rsid w:val="00410A23"/>
    <w:rsid w:val="00411879"/>
    <w:rsid w:val="0043010F"/>
    <w:rsid w:val="004306D4"/>
    <w:rsid w:val="00430F5B"/>
    <w:rsid w:val="004312DE"/>
    <w:rsid w:val="00433FE6"/>
    <w:rsid w:val="00434228"/>
    <w:rsid w:val="0043443E"/>
    <w:rsid w:val="00442B2C"/>
    <w:rsid w:val="00444F48"/>
    <w:rsid w:val="00446130"/>
    <w:rsid w:val="00446A60"/>
    <w:rsid w:val="004504BB"/>
    <w:rsid w:val="0045578D"/>
    <w:rsid w:val="00462ADA"/>
    <w:rsid w:val="00462DF6"/>
    <w:rsid w:val="00464B0C"/>
    <w:rsid w:val="004660E3"/>
    <w:rsid w:val="0046667A"/>
    <w:rsid w:val="00473718"/>
    <w:rsid w:val="00474AC3"/>
    <w:rsid w:val="004809F1"/>
    <w:rsid w:val="0048362C"/>
    <w:rsid w:val="00484683"/>
    <w:rsid w:val="00485151"/>
    <w:rsid w:val="00485753"/>
    <w:rsid w:val="00486DAC"/>
    <w:rsid w:val="004A0F26"/>
    <w:rsid w:val="004A43BE"/>
    <w:rsid w:val="004A64AF"/>
    <w:rsid w:val="004A6CD2"/>
    <w:rsid w:val="004A7288"/>
    <w:rsid w:val="004A729F"/>
    <w:rsid w:val="004A7CDE"/>
    <w:rsid w:val="004B0030"/>
    <w:rsid w:val="004B237B"/>
    <w:rsid w:val="004B35F9"/>
    <w:rsid w:val="004B45E8"/>
    <w:rsid w:val="004B5BE0"/>
    <w:rsid w:val="004B6257"/>
    <w:rsid w:val="004B7DFB"/>
    <w:rsid w:val="004C1A99"/>
    <w:rsid w:val="004C1F14"/>
    <w:rsid w:val="004C5EB9"/>
    <w:rsid w:val="004D0936"/>
    <w:rsid w:val="004D2386"/>
    <w:rsid w:val="004D2D86"/>
    <w:rsid w:val="004D47FD"/>
    <w:rsid w:val="004E3B7C"/>
    <w:rsid w:val="004E5962"/>
    <w:rsid w:val="004F6FCB"/>
    <w:rsid w:val="004F7028"/>
    <w:rsid w:val="00500A40"/>
    <w:rsid w:val="00502A84"/>
    <w:rsid w:val="00502AD4"/>
    <w:rsid w:val="005065A1"/>
    <w:rsid w:val="00507D2C"/>
    <w:rsid w:val="005111D4"/>
    <w:rsid w:val="00512F3C"/>
    <w:rsid w:val="0051655E"/>
    <w:rsid w:val="005168DD"/>
    <w:rsid w:val="0051728D"/>
    <w:rsid w:val="00523E94"/>
    <w:rsid w:val="0053147C"/>
    <w:rsid w:val="00533D33"/>
    <w:rsid w:val="00536820"/>
    <w:rsid w:val="0054010D"/>
    <w:rsid w:val="00546D9D"/>
    <w:rsid w:val="005477D0"/>
    <w:rsid w:val="00555A4B"/>
    <w:rsid w:val="00556FDE"/>
    <w:rsid w:val="0056396B"/>
    <w:rsid w:val="005648C2"/>
    <w:rsid w:val="00574104"/>
    <w:rsid w:val="00583BD8"/>
    <w:rsid w:val="005936D7"/>
    <w:rsid w:val="00594589"/>
    <w:rsid w:val="005A0405"/>
    <w:rsid w:val="005A38C7"/>
    <w:rsid w:val="005D09BE"/>
    <w:rsid w:val="005D25C1"/>
    <w:rsid w:val="005D3B7D"/>
    <w:rsid w:val="005E3410"/>
    <w:rsid w:val="005E3EED"/>
    <w:rsid w:val="005E6969"/>
    <w:rsid w:val="005E75BC"/>
    <w:rsid w:val="005F0C55"/>
    <w:rsid w:val="005F0D55"/>
    <w:rsid w:val="005F63BD"/>
    <w:rsid w:val="005F79EF"/>
    <w:rsid w:val="00601AD2"/>
    <w:rsid w:val="00602C16"/>
    <w:rsid w:val="00604997"/>
    <w:rsid w:val="00606EB8"/>
    <w:rsid w:val="00611ABA"/>
    <w:rsid w:val="0061296F"/>
    <w:rsid w:val="00612C70"/>
    <w:rsid w:val="0061312D"/>
    <w:rsid w:val="00616426"/>
    <w:rsid w:val="0062030F"/>
    <w:rsid w:val="0062061C"/>
    <w:rsid w:val="00621355"/>
    <w:rsid w:val="006213A8"/>
    <w:rsid w:val="00623C9C"/>
    <w:rsid w:val="00623FE1"/>
    <w:rsid w:val="006243C0"/>
    <w:rsid w:val="006247E8"/>
    <w:rsid w:val="00633150"/>
    <w:rsid w:val="006336B9"/>
    <w:rsid w:val="00635645"/>
    <w:rsid w:val="006363E8"/>
    <w:rsid w:val="00636E36"/>
    <w:rsid w:val="00640AF6"/>
    <w:rsid w:val="00647345"/>
    <w:rsid w:val="00651601"/>
    <w:rsid w:val="006527EC"/>
    <w:rsid w:val="00661363"/>
    <w:rsid w:val="00662709"/>
    <w:rsid w:val="00672D63"/>
    <w:rsid w:val="00673244"/>
    <w:rsid w:val="00673B63"/>
    <w:rsid w:val="006741A9"/>
    <w:rsid w:val="00677E13"/>
    <w:rsid w:val="00692669"/>
    <w:rsid w:val="006942EC"/>
    <w:rsid w:val="00694FD8"/>
    <w:rsid w:val="006A2956"/>
    <w:rsid w:val="006A5B04"/>
    <w:rsid w:val="006A5DD4"/>
    <w:rsid w:val="006A5E0B"/>
    <w:rsid w:val="006A68C3"/>
    <w:rsid w:val="006B04B5"/>
    <w:rsid w:val="006B1978"/>
    <w:rsid w:val="006B1FD4"/>
    <w:rsid w:val="006B4FEA"/>
    <w:rsid w:val="006B6BD1"/>
    <w:rsid w:val="006C06CD"/>
    <w:rsid w:val="006C2689"/>
    <w:rsid w:val="006C355C"/>
    <w:rsid w:val="006C4442"/>
    <w:rsid w:val="006C5E61"/>
    <w:rsid w:val="006C7B5D"/>
    <w:rsid w:val="006D25E6"/>
    <w:rsid w:val="006D5DBA"/>
    <w:rsid w:val="006E45E0"/>
    <w:rsid w:val="006E6B8F"/>
    <w:rsid w:val="006F1DE6"/>
    <w:rsid w:val="006F580E"/>
    <w:rsid w:val="00704E29"/>
    <w:rsid w:val="00705A68"/>
    <w:rsid w:val="00712627"/>
    <w:rsid w:val="0071330E"/>
    <w:rsid w:val="00716644"/>
    <w:rsid w:val="00720CCB"/>
    <w:rsid w:val="007320F0"/>
    <w:rsid w:val="00734BBD"/>
    <w:rsid w:val="00734C36"/>
    <w:rsid w:val="0073511A"/>
    <w:rsid w:val="00744E59"/>
    <w:rsid w:val="007479D1"/>
    <w:rsid w:val="007632D3"/>
    <w:rsid w:val="00771FCD"/>
    <w:rsid w:val="00774B6F"/>
    <w:rsid w:val="00775726"/>
    <w:rsid w:val="007926BB"/>
    <w:rsid w:val="00795583"/>
    <w:rsid w:val="007A326A"/>
    <w:rsid w:val="007B2D0B"/>
    <w:rsid w:val="007B6119"/>
    <w:rsid w:val="007B7D14"/>
    <w:rsid w:val="007C117F"/>
    <w:rsid w:val="007C25F7"/>
    <w:rsid w:val="007C32CE"/>
    <w:rsid w:val="007C3BFF"/>
    <w:rsid w:val="007D050B"/>
    <w:rsid w:val="007D539E"/>
    <w:rsid w:val="007E3513"/>
    <w:rsid w:val="007E3DB8"/>
    <w:rsid w:val="007E3EA1"/>
    <w:rsid w:val="007F5A55"/>
    <w:rsid w:val="008045F1"/>
    <w:rsid w:val="00814C68"/>
    <w:rsid w:val="00815F3E"/>
    <w:rsid w:val="0081605E"/>
    <w:rsid w:val="0081647B"/>
    <w:rsid w:val="008276A1"/>
    <w:rsid w:val="0082783D"/>
    <w:rsid w:val="00832A72"/>
    <w:rsid w:val="0083460D"/>
    <w:rsid w:val="0084304A"/>
    <w:rsid w:val="00847FEC"/>
    <w:rsid w:val="008505D9"/>
    <w:rsid w:val="00855217"/>
    <w:rsid w:val="008563F3"/>
    <w:rsid w:val="008618E7"/>
    <w:rsid w:val="00862859"/>
    <w:rsid w:val="0086485F"/>
    <w:rsid w:val="0087620F"/>
    <w:rsid w:val="008806E7"/>
    <w:rsid w:val="00883BEC"/>
    <w:rsid w:val="00884686"/>
    <w:rsid w:val="00884BE0"/>
    <w:rsid w:val="00895BAC"/>
    <w:rsid w:val="00896054"/>
    <w:rsid w:val="008A1644"/>
    <w:rsid w:val="008B28BE"/>
    <w:rsid w:val="008B63C7"/>
    <w:rsid w:val="008B6DD1"/>
    <w:rsid w:val="008C1096"/>
    <w:rsid w:val="008C274D"/>
    <w:rsid w:val="008C39AB"/>
    <w:rsid w:val="008C4684"/>
    <w:rsid w:val="008C7402"/>
    <w:rsid w:val="008D227D"/>
    <w:rsid w:val="008D3AD8"/>
    <w:rsid w:val="008D4946"/>
    <w:rsid w:val="008D5AD7"/>
    <w:rsid w:val="008E0B8C"/>
    <w:rsid w:val="008E0CF7"/>
    <w:rsid w:val="008E2658"/>
    <w:rsid w:val="008E4ABD"/>
    <w:rsid w:val="008F247A"/>
    <w:rsid w:val="008F4866"/>
    <w:rsid w:val="008F7BBF"/>
    <w:rsid w:val="0090110B"/>
    <w:rsid w:val="00902D0B"/>
    <w:rsid w:val="00905EBD"/>
    <w:rsid w:val="00912C20"/>
    <w:rsid w:val="00912E03"/>
    <w:rsid w:val="0091538C"/>
    <w:rsid w:val="00915D98"/>
    <w:rsid w:val="009165D1"/>
    <w:rsid w:val="00920E71"/>
    <w:rsid w:val="009256C2"/>
    <w:rsid w:val="0092720D"/>
    <w:rsid w:val="00933A88"/>
    <w:rsid w:val="009361C8"/>
    <w:rsid w:val="00942262"/>
    <w:rsid w:val="00942798"/>
    <w:rsid w:val="00945EAA"/>
    <w:rsid w:val="009469C6"/>
    <w:rsid w:val="00947FD3"/>
    <w:rsid w:val="00955DB7"/>
    <w:rsid w:val="009608F7"/>
    <w:rsid w:val="0096235B"/>
    <w:rsid w:val="00970F8F"/>
    <w:rsid w:val="00977A2C"/>
    <w:rsid w:val="00983FB5"/>
    <w:rsid w:val="0099177F"/>
    <w:rsid w:val="009A05F9"/>
    <w:rsid w:val="009A27CC"/>
    <w:rsid w:val="009A2A86"/>
    <w:rsid w:val="009A764A"/>
    <w:rsid w:val="009A7B80"/>
    <w:rsid w:val="009B3048"/>
    <w:rsid w:val="009B37F6"/>
    <w:rsid w:val="009B5EFA"/>
    <w:rsid w:val="009B6367"/>
    <w:rsid w:val="009C4338"/>
    <w:rsid w:val="009C48ED"/>
    <w:rsid w:val="009C51B5"/>
    <w:rsid w:val="009D0607"/>
    <w:rsid w:val="009D6C69"/>
    <w:rsid w:val="009E18E7"/>
    <w:rsid w:val="009E3EE2"/>
    <w:rsid w:val="009F0511"/>
    <w:rsid w:val="009F23DC"/>
    <w:rsid w:val="009F413C"/>
    <w:rsid w:val="00A00BF6"/>
    <w:rsid w:val="00A074D0"/>
    <w:rsid w:val="00A12DD3"/>
    <w:rsid w:val="00A1660F"/>
    <w:rsid w:val="00A175A4"/>
    <w:rsid w:val="00A20CF7"/>
    <w:rsid w:val="00A22C90"/>
    <w:rsid w:val="00A252BA"/>
    <w:rsid w:val="00A26E89"/>
    <w:rsid w:val="00A2732C"/>
    <w:rsid w:val="00A31F96"/>
    <w:rsid w:val="00A3241B"/>
    <w:rsid w:val="00A36454"/>
    <w:rsid w:val="00A43B57"/>
    <w:rsid w:val="00A46CA6"/>
    <w:rsid w:val="00A47D55"/>
    <w:rsid w:val="00A5176C"/>
    <w:rsid w:val="00A55560"/>
    <w:rsid w:val="00A57FDA"/>
    <w:rsid w:val="00A627B3"/>
    <w:rsid w:val="00A725C7"/>
    <w:rsid w:val="00A74480"/>
    <w:rsid w:val="00A75C93"/>
    <w:rsid w:val="00A767B1"/>
    <w:rsid w:val="00A81C5D"/>
    <w:rsid w:val="00A84094"/>
    <w:rsid w:val="00A92598"/>
    <w:rsid w:val="00A956F1"/>
    <w:rsid w:val="00A95D5A"/>
    <w:rsid w:val="00A9687C"/>
    <w:rsid w:val="00A97C4B"/>
    <w:rsid w:val="00AA229C"/>
    <w:rsid w:val="00AA46EF"/>
    <w:rsid w:val="00AB5651"/>
    <w:rsid w:val="00AB77E9"/>
    <w:rsid w:val="00AC0638"/>
    <w:rsid w:val="00AD08BD"/>
    <w:rsid w:val="00AD6132"/>
    <w:rsid w:val="00AD62F5"/>
    <w:rsid w:val="00AD6FEE"/>
    <w:rsid w:val="00AE1237"/>
    <w:rsid w:val="00AF1026"/>
    <w:rsid w:val="00B00E24"/>
    <w:rsid w:val="00B07B94"/>
    <w:rsid w:val="00B1234D"/>
    <w:rsid w:val="00B24A22"/>
    <w:rsid w:val="00B274B8"/>
    <w:rsid w:val="00B3186D"/>
    <w:rsid w:val="00B32876"/>
    <w:rsid w:val="00B32971"/>
    <w:rsid w:val="00B4076D"/>
    <w:rsid w:val="00B44639"/>
    <w:rsid w:val="00B531CD"/>
    <w:rsid w:val="00B5674F"/>
    <w:rsid w:val="00B6092C"/>
    <w:rsid w:val="00B65586"/>
    <w:rsid w:val="00B72044"/>
    <w:rsid w:val="00B738FD"/>
    <w:rsid w:val="00B74191"/>
    <w:rsid w:val="00B76910"/>
    <w:rsid w:val="00B77B83"/>
    <w:rsid w:val="00B82139"/>
    <w:rsid w:val="00B82386"/>
    <w:rsid w:val="00B83525"/>
    <w:rsid w:val="00B83F26"/>
    <w:rsid w:val="00B853BF"/>
    <w:rsid w:val="00B8705E"/>
    <w:rsid w:val="00B87469"/>
    <w:rsid w:val="00B94990"/>
    <w:rsid w:val="00B95D1E"/>
    <w:rsid w:val="00BA05F3"/>
    <w:rsid w:val="00BA0E96"/>
    <w:rsid w:val="00BA7B93"/>
    <w:rsid w:val="00BA7DE7"/>
    <w:rsid w:val="00BB1D73"/>
    <w:rsid w:val="00BB2A06"/>
    <w:rsid w:val="00BB2C31"/>
    <w:rsid w:val="00BC1CB7"/>
    <w:rsid w:val="00BC35BA"/>
    <w:rsid w:val="00BC3E58"/>
    <w:rsid w:val="00BC751D"/>
    <w:rsid w:val="00BC796E"/>
    <w:rsid w:val="00BE0316"/>
    <w:rsid w:val="00BE3FAA"/>
    <w:rsid w:val="00BE5E1D"/>
    <w:rsid w:val="00BE6446"/>
    <w:rsid w:val="00BE74DC"/>
    <w:rsid w:val="00C03128"/>
    <w:rsid w:val="00C038C4"/>
    <w:rsid w:val="00C07394"/>
    <w:rsid w:val="00C10E01"/>
    <w:rsid w:val="00C16448"/>
    <w:rsid w:val="00C24E6F"/>
    <w:rsid w:val="00C31CEA"/>
    <w:rsid w:val="00C32B21"/>
    <w:rsid w:val="00C33B44"/>
    <w:rsid w:val="00C34C0F"/>
    <w:rsid w:val="00C44F89"/>
    <w:rsid w:val="00C47AC6"/>
    <w:rsid w:val="00C55679"/>
    <w:rsid w:val="00C6164A"/>
    <w:rsid w:val="00C63954"/>
    <w:rsid w:val="00C648B1"/>
    <w:rsid w:val="00C70BEA"/>
    <w:rsid w:val="00C73D67"/>
    <w:rsid w:val="00C75F7C"/>
    <w:rsid w:val="00C7662E"/>
    <w:rsid w:val="00C8139A"/>
    <w:rsid w:val="00C83738"/>
    <w:rsid w:val="00C84ED9"/>
    <w:rsid w:val="00C93037"/>
    <w:rsid w:val="00C93A43"/>
    <w:rsid w:val="00CA1C0C"/>
    <w:rsid w:val="00CA2E09"/>
    <w:rsid w:val="00CB2FE0"/>
    <w:rsid w:val="00CB4461"/>
    <w:rsid w:val="00CB4991"/>
    <w:rsid w:val="00CC170A"/>
    <w:rsid w:val="00CC5F27"/>
    <w:rsid w:val="00CD060A"/>
    <w:rsid w:val="00CD07B9"/>
    <w:rsid w:val="00CD1C0D"/>
    <w:rsid w:val="00CD56F4"/>
    <w:rsid w:val="00CD652B"/>
    <w:rsid w:val="00CD7221"/>
    <w:rsid w:val="00CE1EA6"/>
    <w:rsid w:val="00CE21B2"/>
    <w:rsid w:val="00CE298A"/>
    <w:rsid w:val="00CE34DC"/>
    <w:rsid w:val="00CE5EF6"/>
    <w:rsid w:val="00CF0058"/>
    <w:rsid w:val="00D007D8"/>
    <w:rsid w:val="00D02D47"/>
    <w:rsid w:val="00D063C7"/>
    <w:rsid w:val="00D06D6C"/>
    <w:rsid w:val="00D07F1F"/>
    <w:rsid w:val="00D14448"/>
    <w:rsid w:val="00D15BFD"/>
    <w:rsid w:val="00D15E39"/>
    <w:rsid w:val="00D1659D"/>
    <w:rsid w:val="00D2059F"/>
    <w:rsid w:val="00D26EF4"/>
    <w:rsid w:val="00D32A7B"/>
    <w:rsid w:val="00D332B1"/>
    <w:rsid w:val="00D33A20"/>
    <w:rsid w:val="00D44040"/>
    <w:rsid w:val="00D47BF5"/>
    <w:rsid w:val="00D5023B"/>
    <w:rsid w:val="00D51980"/>
    <w:rsid w:val="00D51BD0"/>
    <w:rsid w:val="00D57711"/>
    <w:rsid w:val="00D60897"/>
    <w:rsid w:val="00D62A10"/>
    <w:rsid w:val="00D641A9"/>
    <w:rsid w:val="00D64BA5"/>
    <w:rsid w:val="00D74A1A"/>
    <w:rsid w:val="00D82287"/>
    <w:rsid w:val="00D8691D"/>
    <w:rsid w:val="00D94320"/>
    <w:rsid w:val="00D971A7"/>
    <w:rsid w:val="00DA42C1"/>
    <w:rsid w:val="00DA7057"/>
    <w:rsid w:val="00DA78A5"/>
    <w:rsid w:val="00DB452F"/>
    <w:rsid w:val="00DB467F"/>
    <w:rsid w:val="00DB5CC3"/>
    <w:rsid w:val="00DB6FAE"/>
    <w:rsid w:val="00DC2131"/>
    <w:rsid w:val="00DC4D84"/>
    <w:rsid w:val="00DC5D03"/>
    <w:rsid w:val="00DD2F44"/>
    <w:rsid w:val="00DD33CE"/>
    <w:rsid w:val="00DD78B6"/>
    <w:rsid w:val="00DE177D"/>
    <w:rsid w:val="00DE18D6"/>
    <w:rsid w:val="00DF2CD3"/>
    <w:rsid w:val="00DF4652"/>
    <w:rsid w:val="00DF5932"/>
    <w:rsid w:val="00DF5BFE"/>
    <w:rsid w:val="00DF5D62"/>
    <w:rsid w:val="00E0309C"/>
    <w:rsid w:val="00E044A0"/>
    <w:rsid w:val="00E07CF2"/>
    <w:rsid w:val="00E12F13"/>
    <w:rsid w:val="00E13E08"/>
    <w:rsid w:val="00E20136"/>
    <w:rsid w:val="00E20875"/>
    <w:rsid w:val="00E20D9A"/>
    <w:rsid w:val="00E20DA5"/>
    <w:rsid w:val="00E218C1"/>
    <w:rsid w:val="00E24A30"/>
    <w:rsid w:val="00E24F51"/>
    <w:rsid w:val="00E33B17"/>
    <w:rsid w:val="00E35991"/>
    <w:rsid w:val="00E35E63"/>
    <w:rsid w:val="00E42F0F"/>
    <w:rsid w:val="00E43D93"/>
    <w:rsid w:val="00E44C8A"/>
    <w:rsid w:val="00E46FE3"/>
    <w:rsid w:val="00E511C1"/>
    <w:rsid w:val="00E5290A"/>
    <w:rsid w:val="00E54B59"/>
    <w:rsid w:val="00E566BB"/>
    <w:rsid w:val="00E63204"/>
    <w:rsid w:val="00E63498"/>
    <w:rsid w:val="00E656DC"/>
    <w:rsid w:val="00E65F90"/>
    <w:rsid w:val="00E6606D"/>
    <w:rsid w:val="00E7061E"/>
    <w:rsid w:val="00E77B3C"/>
    <w:rsid w:val="00E81256"/>
    <w:rsid w:val="00E82623"/>
    <w:rsid w:val="00E8518F"/>
    <w:rsid w:val="00E937E6"/>
    <w:rsid w:val="00EA3DFF"/>
    <w:rsid w:val="00EA5540"/>
    <w:rsid w:val="00EB23F4"/>
    <w:rsid w:val="00EB6940"/>
    <w:rsid w:val="00EB7062"/>
    <w:rsid w:val="00EC1347"/>
    <w:rsid w:val="00EC4366"/>
    <w:rsid w:val="00EC59BC"/>
    <w:rsid w:val="00ED23CD"/>
    <w:rsid w:val="00ED4EEC"/>
    <w:rsid w:val="00ED51F6"/>
    <w:rsid w:val="00EE0829"/>
    <w:rsid w:val="00EE0C23"/>
    <w:rsid w:val="00EE0F63"/>
    <w:rsid w:val="00EE576D"/>
    <w:rsid w:val="00EE6ADF"/>
    <w:rsid w:val="00EE7333"/>
    <w:rsid w:val="00EF0BA6"/>
    <w:rsid w:val="00EF5CE8"/>
    <w:rsid w:val="00F000CA"/>
    <w:rsid w:val="00F01418"/>
    <w:rsid w:val="00F0616E"/>
    <w:rsid w:val="00F06D55"/>
    <w:rsid w:val="00F11E15"/>
    <w:rsid w:val="00F172D6"/>
    <w:rsid w:val="00F20BEE"/>
    <w:rsid w:val="00F219B1"/>
    <w:rsid w:val="00F27735"/>
    <w:rsid w:val="00F27AF2"/>
    <w:rsid w:val="00F3104A"/>
    <w:rsid w:val="00F42F00"/>
    <w:rsid w:val="00F4315E"/>
    <w:rsid w:val="00F448A0"/>
    <w:rsid w:val="00F45338"/>
    <w:rsid w:val="00F4543C"/>
    <w:rsid w:val="00F479D8"/>
    <w:rsid w:val="00F5351E"/>
    <w:rsid w:val="00F53534"/>
    <w:rsid w:val="00F547F3"/>
    <w:rsid w:val="00F605E2"/>
    <w:rsid w:val="00F63E8E"/>
    <w:rsid w:val="00F73B7D"/>
    <w:rsid w:val="00F743DE"/>
    <w:rsid w:val="00F77292"/>
    <w:rsid w:val="00F80796"/>
    <w:rsid w:val="00F81DE5"/>
    <w:rsid w:val="00F83B97"/>
    <w:rsid w:val="00F8409D"/>
    <w:rsid w:val="00F910EC"/>
    <w:rsid w:val="00F91ADE"/>
    <w:rsid w:val="00F93F9F"/>
    <w:rsid w:val="00F96B3A"/>
    <w:rsid w:val="00FA0C29"/>
    <w:rsid w:val="00FA11A9"/>
    <w:rsid w:val="00FA591B"/>
    <w:rsid w:val="00FA7CA0"/>
    <w:rsid w:val="00FB03AC"/>
    <w:rsid w:val="00FB0956"/>
    <w:rsid w:val="00FB3049"/>
    <w:rsid w:val="00FB3404"/>
    <w:rsid w:val="00FB570D"/>
    <w:rsid w:val="00FB6B2B"/>
    <w:rsid w:val="00FB77E9"/>
    <w:rsid w:val="00FC0D54"/>
    <w:rsid w:val="00FC1BD2"/>
    <w:rsid w:val="00FC1F80"/>
    <w:rsid w:val="00FD217F"/>
    <w:rsid w:val="00FD3FC3"/>
    <w:rsid w:val="00FD5228"/>
    <w:rsid w:val="00FD753A"/>
    <w:rsid w:val="00FE2279"/>
    <w:rsid w:val="00FE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fc9,#feefe2"/>
      <o:colormenu v:ext="edit" fillcolor="#feefe2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7FB6"/>
    <w:pPr>
      <w:bidi/>
    </w:pPr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qFormat/>
    <w:locked/>
    <w:rsid w:val="00847FEC"/>
    <w:pPr>
      <w:keepNext/>
      <w:numPr>
        <w:numId w:val="5"/>
      </w:numPr>
      <w:suppressAutoHyphens/>
      <w:bidi w:val="0"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val="fr-FR" w:eastAsia="ar-SA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BB2A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F743DE"/>
    <w:rPr>
      <w:rFonts w:cs="Times New Roman"/>
      <w:sz w:val="2"/>
      <w:lang w:bidi="ar-MA"/>
    </w:rPr>
  </w:style>
  <w:style w:type="table" w:styleId="Grilledutableau">
    <w:name w:val="Table Grid"/>
    <w:basedOn w:val="TableauNormal"/>
    <w:uiPriority w:val="59"/>
    <w:rsid w:val="0063315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qFormat/>
    <w:locked/>
    <w:rsid w:val="00AA229C"/>
    <w:pPr>
      <w:bidi w:val="0"/>
      <w:jc w:val="center"/>
    </w:pPr>
    <w:rPr>
      <w:rFonts w:ascii="Tahoma" w:hAnsi="Tahoma" w:cs="Tahoma"/>
      <w:i/>
      <w:iCs/>
      <w:spacing w:val="-2"/>
      <w:szCs w:val="20"/>
      <w:lang w:val="en-GB" w:bidi="ar-SA"/>
    </w:rPr>
  </w:style>
  <w:style w:type="paragraph" w:styleId="Corpsdetexte">
    <w:name w:val="Body Text"/>
    <w:basedOn w:val="Normal"/>
    <w:link w:val="CorpsdetexteCar"/>
    <w:rsid w:val="00D332B1"/>
    <w:pPr>
      <w:bidi w:val="0"/>
      <w:jc w:val="center"/>
    </w:pPr>
    <w:rPr>
      <w:rFonts w:ascii="Tahoma" w:hAnsi="Tahoma" w:cs="Tahoma"/>
      <w:b/>
      <w:bCs/>
      <w:sz w:val="28"/>
      <w:szCs w:val="20"/>
      <w:lang w:val="en-GB" w:bidi="ar-SA"/>
    </w:rPr>
  </w:style>
  <w:style w:type="character" w:customStyle="1" w:styleId="CorpsdetexteCar">
    <w:name w:val="Corps de texte Car"/>
    <w:basedOn w:val="Policepardfaut"/>
    <w:link w:val="Corpsdetexte"/>
    <w:semiHidden/>
    <w:locked/>
    <w:rsid w:val="00016DDB"/>
    <w:rPr>
      <w:rFonts w:cs="Times New Roman"/>
      <w:sz w:val="24"/>
      <w:szCs w:val="24"/>
      <w:lang w:bidi="ar-MA"/>
    </w:rPr>
  </w:style>
  <w:style w:type="character" w:customStyle="1" w:styleId="CharChar">
    <w:name w:val="Char Char"/>
    <w:basedOn w:val="Policepardfaut"/>
    <w:semiHidden/>
    <w:locked/>
    <w:rsid w:val="003E4402"/>
    <w:rPr>
      <w:rFonts w:ascii="Tahoma" w:hAnsi="Tahoma" w:cs="Tahoma"/>
      <w:b/>
      <w:bCs/>
      <w:sz w:val="28"/>
      <w:lang w:val="en-GB" w:eastAsia="en-US" w:bidi="ar-SA"/>
    </w:rPr>
  </w:style>
  <w:style w:type="paragraph" w:customStyle="1" w:styleId="CharCharCharCharCharCharCharChar">
    <w:name w:val="Char Char Char Char Char Char Char Char"/>
    <w:basedOn w:val="Normal"/>
    <w:rsid w:val="00195A60"/>
    <w:pPr>
      <w:bidi w:val="0"/>
      <w:spacing w:after="160" w:line="240" w:lineRule="exact"/>
    </w:pPr>
    <w:rPr>
      <w:rFonts w:ascii="Verdana" w:hAnsi="Verdana"/>
      <w:sz w:val="20"/>
      <w:szCs w:val="20"/>
      <w:lang w:val="en-GB" w:bidi="ar-SA"/>
    </w:rPr>
  </w:style>
  <w:style w:type="paragraph" w:styleId="En-tte">
    <w:name w:val="header"/>
    <w:basedOn w:val="Normal"/>
    <w:link w:val="En-tteCar"/>
    <w:rsid w:val="00883BE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rsid w:val="00883BEC"/>
    <w:rPr>
      <w:sz w:val="24"/>
      <w:szCs w:val="24"/>
      <w:lang w:bidi="ar-MA"/>
    </w:rPr>
  </w:style>
  <w:style w:type="paragraph" w:styleId="Pieddepage">
    <w:name w:val="footer"/>
    <w:basedOn w:val="Normal"/>
    <w:link w:val="PieddepageCar"/>
    <w:rsid w:val="00883BE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rsid w:val="00883BEC"/>
    <w:rPr>
      <w:sz w:val="24"/>
      <w:szCs w:val="24"/>
      <w:lang w:bidi="ar-MA"/>
    </w:rPr>
  </w:style>
  <w:style w:type="character" w:customStyle="1" w:styleId="Titre1Car">
    <w:name w:val="Titre 1 Car"/>
    <w:basedOn w:val="Policepardfaut"/>
    <w:link w:val="Titre1"/>
    <w:rsid w:val="00847FEC"/>
    <w:rPr>
      <w:rFonts w:ascii="Arial" w:hAnsi="Arial" w:cs="Arial"/>
      <w:b/>
      <w:bCs/>
      <w:kern w:val="1"/>
      <w:sz w:val="32"/>
      <w:szCs w:val="32"/>
      <w:lang w:val="fr-FR" w:eastAsia="ar-SA"/>
    </w:rPr>
  </w:style>
  <w:style w:type="paragraph" w:styleId="NormalWeb">
    <w:name w:val="Normal (Web)"/>
    <w:basedOn w:val="Normal"/>
    <w:rsid w:val="00847FEC"/>
    <w:pPr>
      <w:suppressAutoHyphens/>
      <w:bidi w:val="0"/>
      <w:spacing w:before="280" w:after="115"/>
    </w:pPr>
    <w:rPr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0BB13-F6B2-4AF0-8608-475A54D5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55</Pages>
  <Words>312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زائــر</vt:lpstr>
      <vt:lpstr>زائــر</vt:lpstr>
    </vt:vector>
  </TitlesOfParts>
  <Company>interieur</Company>
  <LinksUpToDate>false</LinksUpToDate>
  <CharactersWithSpaces>2090</CharactersWithSpaces>
  <SharedDoc>false</SharedDoc>
  <HLinks>
    <vt:vector size="6" baseType="variant">
      <vt:variant>
        <vt:i4>7077945</vt:i4>
      </vt:variant>
      <vt:variant>
        <vt:i4>0</vt:i4>
      </vt:variant>
      <vt:variant>
        <vt:i4>0</vt:i4>
      </vt:variant>
      <vt:variant>
        <vt:i4>5</vt:i4>
      </vt:variant>
      <vt:variant>
        <vt:lpwstr>http://www.uneca.org/ATPC/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زائــر</dc:title>
  <dc:subject/>
  <dc:creator>securite</dc:creator>
  <cp:keywords/>
  <dc:description/>
  <cp:lastModifiedBy> Mosseddek</cp:lastModifiedBy>
  <cp:revision>4</cp:revision>
  <cp:lastPrinted>2011-10-26T15:17:00Z</cp:lastPrinted>
  <dcterms:created xsi:type="dcterms:W3CDTF">2013-11-19T10:31:00Z</dcterms:created>
  <dcterms:modified xsi:type="dcterms:W3CDTF">2013-11-19T11:10:00Z</dcterms:modified>
</cp:coreProperties>
</file>